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609F" w14:textId="695140B0" w:rsidR="00AD45E5" w:rsidRDefault="00196A75" w:rsidP="00AD45E5">
      <w:pPr>
        <w:shd w:val="clear" w:color="auto" w:fill="538135" w:themeFill="accent6" w:themeFillShade="BF"/>
        <w:rPr>
          <w:rFonts w:ascii="Gill Sans MT" w:hAnsi="Gill Sans MT"/>
          <w:b/>
          <w:bCs/>
          <w:i/>
          <w:iCs/>
          <w:color w:val="FFFFFF" w:themeColor="background1"/>
          <w:sz w:val="28"/>
          <w:szCs w:val="28"/>
          <w:lang w:val="en-US"/>
        </w:rPr>
      </w:pPr>
      <w:bookmarkStart w:id="0" w:name="_Hlk181001867"/>
      <w:r w:rsidRPr="00196A75">
        <w:rPr>
          <w:rFonts w:ascii="Gill Sans MT" w:hAnsi="Gill Sans MT"/>
          <w:b/>
          <w:bCs/>
          <w:i/>
          <w:iCs/>
          <w:color w:val="FFFFFF" w:themeColor="background1"/>
          <w:sz w:val="28"/>
          <w:szCs w:val="28"/>
          <w:lang w:val="en-US"/>
        </w:rPr>
        <w:t>European Digital Sovereignty Now</w:t>
      </w:r>
    </w:p>
    <w:p w14:paraId="12B3B51A" w14:textId="77777777" w:rsidR="00196A75" w:rsidRPr="00072C21" w:rsidRDefault="00196A75" w:rsidP="00AD45E5">
      <w:pPr>
        <w:shd w:val="clear" w:color="auto" w:fill="538135" w:themeFill="accent6" w:themeFillShade="BF"/>
        <w:rPr>
          <w:rFonts w:ascii="Gill Sans MT" w:hAnsi="Gill Sans MT"/>
          <w:b/>
          <w:color w:val="FFFFFF" w:themeColor="background1"/>
          <w:lang w:val="en-US"/>
        </w:rPr>
      </w:pPr>
    </w:p>
    <w:p w14:paraId="68447698" w14:textId="3220F91E" w:rsidR="00AD45E5" w:rsidRPr="0093699D" w:rsidRDefault="00AD45E5" w:rsidP="00AD45E5">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Pr>
          <w:rFonts w:ascii="Gill Sans MT" w:hAnsi="Gill Sans MT"/>
          <w:color w:val="FFFFFF" w:themeColor="background1"/>
          <w:lang w:val="en-US"/>
        </w:rPr>
        <w:t xml:space="preserve">30 October </w:t>
      </w:r>
      <w:r w:rsidRPr="0093699D">
        <w:rPr>
          <w:rFonts w:ascii="Gill Sans MT" w:hAnsi="Gill Sans MT"/>
          <w:color w:val="FFFFFF" w:themeColor="background1"/>
          <w:lang w:val="en-US"/>
        </w:rPr>
        <w:t>202</w:t>
      </w:r>
      <w:r>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196A75">
        <w:rPr>
          <w:rFonts w:ascii="Gill Sans MT" w:hAnsi="Gill Sans MT"/>
          <w:b/>
          <w:bCs/>
          <w:color w:val="FFFFFF" w:themeColor="background1"/>
          <w:lang w:val="en-GB"/>
        </w:rPr>
        <w:t>Francois Leray</w:t>
      </w:r>
      <w:r w:rsidRPr="00E065BE">
        <w:rPr>
          <w:rFonts w:ascii="Gill Sans MT" w:hAnsi="Gill Sans MT"/>
          <w:b/>
          <w:bCs/>
          <w:color w:val="FFFFFF" w:themeColor="background1"/>
          <w:lang w:val="en-GB"/>
        </w:rPr>
        <w:t xml:space="preserve"> </w:t>
      </w:r>
    </w:p>
    <w:bookmarkEnd w:id="0"/>
    <w:p w14:paraId="2586A652" w14:textId="77777777" w:rsidR="00AD45E5" w:rsidRPr="00622AC7" w:rsidRDefault="00AD45E5" w:rsidP="00AD45E5">
      <w:pPr>
        <w:shd w:val="clear" w:color="auto" w:fill="FFFFFF"/>
        <w:spacing w:line="276" w:lineRule="auto"/>
        <w:rPr>
          <w:rFonts w:ascii="Gill Sans MT" w:eastAsia="Times New Roman" w:hAnsi="Gill Sans MT" w:cs="Open Sans"/>
          <w:bCs/>
          <w:lang w:val="en-GB" w:eastAsia="en-GB"/>
        </w:rPr>
      </w:pPr>
    </w:p>
    <w:p w14:paraId="39A7705B" w14:textId="077F37DC" w:rsidR="00AD45E5" w:rsidRDefault="00AD45E5" w:rsidP="00AD45E5">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22-23 November</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415A6A5C" w14:textId="77777777" w:rsidR="00196A75" w:rsidRPr="00523374" w:rsidRDefault="00196A75" w:rsidP="00196A75">
      <w:pPr>
        <w:shd w:val="clear" w:color="auto" w:fill="FFFFFF"/>
        <w:spacing w:line="276" w:lineRule="auto"/>
        <w:rPr>
          <w:rFonts w:ascii="Gill Sans MT" w:eastAsia="Times New Roman" w:hAnsi="Gill Sans MT" w:cs="Open Sans"/>
          <w:b/>
          <w:color w:val="000000"/>
          <w:lang w:val="en-GB" w:eastAsia="en-GB"/>
        </w:rPr>
      </w:pPr>
      <w:r w:rsidRPr="00523374">
        <w:rPr>
          <w:rFonts w:ascii="Gill Sans MT" w:eastAsia="Times New Roman" w:hAnsi="Gill Sans MT" w:cs="Open Sans"/>
          <w:b/>
          <w:color w:val="000000"/>
          <w:lang w:val="en-GB" w:eastAsia="en-GB"/>
        </w:rPr>
        <w:t>Having regard to</w:t>
      </w:r>
    </w:p>
    <w:p w14:paraId="44AF1E71" w14:textId="77777777" w:rsidR="00196A75" w:rsidRPr="00F31157" w:rsidRDefault="00196A75" w:rsidP="00196A75">
      <w:pPr>
        <w:shd w:val="clear" w:color="auto" w:fill="FFFFFF"/>
        <w:spacing w:line="276" w:lineRule="auto"/>
        <w:rPr>
          <w:rFonts w:ascii="Gill Sans MT" w:eastAsia="Times New Roman" w:hAnsi="Gill Sans MT" w:cs="Open Sans"/>
          <w:bCs/>
          <w:color w:val="000000"/>
          <w:lang w:val="en-US" w:eastAsia="en-GB"/>
        </w:rPr>
      </w:pPr>
    </w:p>
    <w:p w14:paraId="7AD0A16D" w14:textId="5CE4A0DB" w:rsidR="00196A75" w:rsidRPr="00072C21" w:rsidRDefault="00196A75" w:rsidP="00072C21">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 xml:space="preserve">the Treaty on European Union and the European Parliament’s resolutions, underlining the need for strategic autonomy in all areas, including the digital sector, </w:t>
      </w:r>
    </w:p>
    <w:p w14:paraId="620320E4" w14:textId="3F712FF4" w:rsidR="00196A75" w:rsidRPr="00072C21" w:rsidRDefault="00196A75" w:rsidP="00072C21">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the General Data Protection Regulation (GDPR), to the Digital Markets Act (DMA) and the Digital Services Act (DSA),</w:t>
      </w:r>
    </w:p>
    <w:p w14:paraId="1CE937A0" w14:textId="007CE0A6" w:rsidR="00196A75" w:rsidRPr="00072C21" w:rsidRDefault="00196A75" w:rsidP="00072C21">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 xml:space="preserve">the 2025 State of the Digital Decade report, which highlights the persistent dependence of European digital infrastructures on non-European providers and calls for strengthened action, </w:t>
      </w:r>
    </w:p>
    <w:p w14:paraId="5687E354" w14:textId="75F5E6C4" w:rsidR="00196A75" w:rsidRPr="00072C21" w:rsidRDefault="00196A75" w:rsidP="00072C21">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 xml:space="preserve">the creation of the </w:t>
      </w:r>
      <w:r w:rsidRPr="00A20A44">
        <w:rPr>
          <w:rFonts w:ascii="Gill Sans MT" w:eastAsia="Times New Roman" w:hAnsi="Gill Sans MT" w:cs="Open Sans"/>
          <w:bCs/>
          <w:color w:val="000000"/>
          <w:lang w:val="en-US" w:eastAsia="en-GB"/>
        </w:rPr>
        <w:t xml:space="preserve">European Digital Infrastructure Consortium </w:t>
      </w:r>
      <w:r w:rsidRPr="002F45A2">
        <w:rPr>
          <w:rFonts w:ascii="Gill Sans MT" w:eastAsia="Times New Roman" w:hAnsi="Gill Sans MT" w:cs="Open Sans"/>
          <w:bCs/>
          <w:color w:val="000000"/>
          <w:lang w:val="en-US" w:eastAsia="en-GB"/>
        </w:rPr>
        <w:t xml:space="preserve">for digital commons, aimed at strengthening European autonomy in digital infrastructures and services, </w:t>
      </w:r>
    </w:p>
    <w:p w14:paraId="3628E209" w14:textId="77777777" w:rsidR="00196A75" w:rsidRPr="002F45A2" w:rsidRDefault="00196A75" w:rsidP="00196A75">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 xml:space="preserve">the US administration sanctions targeting UN officials, including measures taken against the International Criminal Court (ICC), illustrating the concrete risks of dependence on digital infrastructures controlled by non-European actors, particularly for communication, data storage, and collaborative tools, </w:t>
      </w:r>
    </w:p>
    <w:p w14:paraId="597448E9"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p>
    <w:p w14:paraId="5D1E0416" w14:textId="77777777" w:rsidR="00196A75" w:rsidRPr="00A84498" w:rsidRDefault="00196A75" w:rsidP="00196A75">
      <w:pPr>
        <w:shd w:val="clear" w:color="auto" w:fill="FFFFFF"/>
        <w:spacing w:line="276" w:lineRule="auto"/>
        <w:rPr>
          <w:rFonts w:ascii="Gill Sans MT" w:eastAsia="Times New Roman" w:hAnsi="Gill Sans MT" w:cs="Open Sans"/>
          <w:b/>
          <w:color w:val="000000"/>
          <w:lang w:val="en-US" w:eastAsia="en-GB"/>
        </w:rPr>
      </w:pPr>
      <w:r w:rsidRPr="00A84498">
        <w:rPr>
          <w:rFonts w:ascii="Gill Sans MT" w:eastAsia="Times New Roman" w:hAnsi="Gill Sans MT" w:cs="Open Sans"/>
          <w:b/>
          <w:color w:val="000000"/>
          <w:lang w:val="en-US" w:eastAsia="en-GB"/>
        </w:rPr>
        <w:t>Concerned by the fact that</w:t>
      </w:r>
    </w:p>
    <w:p w14:paraId="638F99FB"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519E69E5" w14:textId="0AD00FA5" w:rsidR="00196A75" w:rsidRPr="00072C21" w:rsidRDefault="00196A75" w:rsidP="00072C21">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481449">
        <w:rPr>
          <w:rFonts w:ascii="Gill Sans MT" w:eastAsia="Times New Roman" w:hAnsi="Gill Sans MT" w:cs="Open Sans"/>
          <w:bCs/>
          <w:color w:val="000000"/>
          <w:lang w:val="en-US" w:eastAsia="en-GB"/>
        </w:rPr>
        <w:t xml:space="preserve">most European companies’ data is still hosted on non-European infrastructures, exposing the Union to major risks in terms of security, data protection, and strategic dependence, </w:t>
      </w:r>
    </w:p>
    <w:p w14:paraId="59D74754" w14:textId="0B42A13B" w:rsidR="00196A75" w:rsidRPr="00072C21" w:rsidRDefault="00196A75" w:rsidP="00072C21">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481449">
        <w:rPr>
          <w:rFonts w:ascii="Gill Sans MT" w:eastAsia="Times New Roman" w:hAnsi="Gill Sans MT" w:cs="Open Sans"/>
          <w:bCs/>
          <w:color w:val="000000"/>
          <w:lang w:val="en-US" w:eastAsia="en-GB"/>
        </w:rPr>
        <w:t xml:space="preserve">non-European control of digital infrastructures demonstrates that dependence on GAFAM tools is not limited to economic or technical issues, but constitutes a direct threat to the rule of law, judicial independence, and European sovereignty, </w:t>
      </w:r>
    </w:p>
    <w:p w14:paraId="2FA89E5B" w14:textId="5AD56261" w:rsidR="00196A75" w:rsidRPr="00072C21" w:rsidRDefault="00196A75" w:rsidP="00072C21">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481449">
        <w:rPr>
          <w:rFonts w:ascii="Gill Sans MT" w:eastAsia="Times New Roman" w:hAnsi="Gill Sans MT" w:cs="Open Sans"/>
          <w:bCs/>
          <w:color w:val="000000"/>
          <w:lang w:val="en-US" w:eastAsia="en-GB"/>
        </w:rPr>
        <w:t xml:space="preserve">the DMA and DSA, although in force, struggle to reverse the dominance of non-European digital actors in Europe, </w:t>
      </w:r>
    </w:p>
    <w:p w14:paraId="72CFE0B9" w14:textId="77777777" w:rsidR="00196A75" w:rsidRPr="00481449" w:rsidRDefault="00196A75" w:rsidP="00196A75">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481449">
        <w:rPr>
          <w:rFonts w:ascii="Gill Sans MT" w:eastAsia="Times New Roman" w:hAnsi="Gill Sans MT" w:cs="Open Sans"/>
          <w:bCs/>
          <w:color w:val="000000"/>
          <w:lang w:val="en-US" w:eastAsia="en-GB"/>
        </w:rPr>
        <w:t xml:space="preserve">digital sovereignty is a strategic issue, and that digital sovereignty should be considered a priority for the Union’s autonomy, particularly in the face of risks of interference and extraterritorial sanctions, </w:t>
      </w:r>
    </w:p>
    <w:p w14:paraId="2BED06FB"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3F3182B5"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r>
        <w:rPr>
          <w:rFonts w:ascii="Gill Sans MT" w:eastAsia="Times New Roman" w:hAnsi="Gill Sans MT" w:cs="Open Sans"/>
          <w:b/>
          <w:bCs/>
          <w:color w:val="000000"/>
          <w:lang w:val="en-US" w:eastAsia="en-GB"/>
        </w:rPr>
        <w:t xml:space="preserve">Considering that </w:t>
      </w:r>
    </w:p>
    <w:p w14:paraId="69702415"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0E251AAA" w14:textId="77777777" w:rsidR="00196A75" w:rsidRPr="002D08F9" w:rsidRDefault="00196A75" w:rsidP="00196A75">
      <w:pPr>
        <w:pStyle w:val="Paragrafoelenco"/>
        <w:numPr>
          <w:ilvl w:val="0"/>
          <w:numId w:val="16"/>
        </w:numPr>
        <w:shd w:val="clear" w:color="auto" w:fill="FFFFFF"/>
        <w:suppressAutoHyphens w:val="0"/>
        <w:spacing w:line="276" w:lineRule="auto"/>
        <w:jc w:val="both"/>
        <w:rPr>
          <w:rFonts w:ascii="Gill Sans MT" w:eastAsia="Times New Roman" w:hAnsi="Gill Sans MT" w:cs="Open Sans"/>
          <w:color w:val="000000"/>
          <w:lang w:val="en-US" w:eastAsia="en-GB"/>
        </w:rPr>
      </w:pPr>
      <w:r w:rsidRPr="002D08F9">
        <w:rPr>
          <w:rFonts w:ascii="Gill Sans MT" w:eastAsia="Times New Roman" w:hAnsi="Gill Sans MT" w:cs="Open Sans"/>
          <w:color w:val="000000"/>
          <w:lang w:val="en-US" w:eastAsia="en-GB"/>
        </w:rPr>
        <w:t xml:space="preserve">bolstering The European digital economic sector needs exemplarity from European and national institutions, activism from pro-European actors as European digital alternatives already exist, are sufficient for most user cases but </w:t>
      </w:r>
      <w:r>
        <w:rPr>
          <w:rFonts w:ascii="Gill Sans MT" w:eastAsia="Times New Roman" w:hAnsi="Gill Sans MT" w:cs="Open Sans"/>
          <w:color w:val="000000"/>
          <w:lang w:val="en-US" w:eastAsia="en-GB"/>
        </w:rPr>
        <w:t>need help</w:t>
      </w:r>
      <w:r w:rsidRPr="002D08F9">
        <w:rPr>
          <w:rFonts w:ascii="Gill Sans MT" w:eastAsia="Times New Roman" w:hAnsi="Gill Sans MT" w:cs="Open Sans"/>
          <w:color w:val="000000"/>
          <w:lang w:val="en-US" w:eastAsia="en-GB"/>
        </w:rPr>
        <w:t xml:space="preserve"> to reach the critical mass to make them affordable and attractive</w:t>
      </w:r>
      <w:r>
        <w:rPr>
          <w:rFonts w:ascii="Gill Sans MT" w:eastAsia="Times New Roman" w:hAnsi="Gill Sans MT" w:cs="Open Sans"/>
          <w:color w:val="000000"/>
          <w:lang w:val="en-US" w:eastAsia="en-GB"/>
        </w:rPr>
        <w:t>,</w:t>
      </w:r>
    </w:p>
    <w:p w14:paraId="407CA7DA"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0940239A"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r w:rsidRPr="00F31157">
        <w:rPr>
          <w:rFonts w:ascii="Gill Sans MT" w:eastAsia="Times New Roman" w:hAnsi="Gill Sans MT" w:cs="Open Sans"/>
          <w:b/>
          <w:bCs/>
          <w:color w:val="000000"/>
          <w:lang w:val="en-US" w:eastAsia="en-GB"/>
        </w:rPr>
        <w:t>Calls on the European Commission and the Council of the European Union to:</w:t>
      </w:r>
      <w:r w:rsidRPr="00F31157">
        <w:rPr>
          <w:rFonts w:ascii="Gill Sans MT" w:eastAsia="Times New Roman" w:hAnsi="Gill Sans MT" w:cs="Open Sans"/>
          <w:bCs/>
          <w:color w:val="000000"/>
          <w:lang w:val="en-US" w:eastAsia="en-GB"/>
        </w:rPr>
        <w:t xml:space="preserve"> </w:t>
      </w:r>
    </w:p>
    <w:p w14:paraId="7CA27068"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p>
    <w:p w14:paraId="09E43232" w14:textId="590A2897" w:rsidR="00196A75" w:rsidRPr="00072C21" w:rsidRDefault="00196A75" w:rsidP="00072C21">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E1485C">
        <w:rPr>
          <w:rFonts w:ascii="Gill Sans MT" w:eastAsia="Times New Roman" w:hAnsi="Gill Sans MT" w:cs="Open Sans"/>
          <w:bCs/>
          <w:color w:val="000000"/>
          <w:lang w:val="en-US" w:eastAsia="en-GB"/>
        </w:rPr>
        <w:t xml:space="preserve">accelerate the migration of the European institutions’ internal digital tools to European, sovereign, open-source, and GDPR-compliant solutions, setting a binding timeline to avoid as soon as possible any vulnerability linked to foreign interference, </w:t>
      </w:r>
    </w:p>
    <w:p w14:paraId="7C26F0A0" w14:textId="4A439AE5" w:rsidR="00196A75" w:rsidRPr="00072C21" w:rsidRDefault="00196A75" w:rsidP="00072C21">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E1485C">
        <w:rPr>
          <w:rFonts w:ascii="Gill Sans MT" w:eastAsia="Times New Roman" w:hAnsi="Gill Sans MT" w:cs="Open Sans"/>
          <w:bCs/>
          <w:color w:val="000000"/>
          <w:lang w:val="en-US" w:eastAsia="en-GB"/>
        </w:rPr>
        <w:t xml:space="preserve">strengthen the criteria for awarding public digital contracts in favor of European actors complying with European standards, </w:t>
      </w:r>
    </w:p>
    <w:p w14:paraId="7CEA2993" w14:textId="77777777" w:rsidR="00196A75" w:rsidRPr="00E1485C" w:rsidRDefault="00196A75" w:rsidP="00196A75">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E1485C">
        <w:rPr>
          <w:rFonts w:ascii="Gill Sans MT" w:eastAsia="Times New Roman" w:hAnsi="Gill Sans MT" w:cs="Open Sans"/>
          <w:bCs/>
          <w:color w:val="000000"/>
          <w:lang w:val="en-US" w:eastAsia="en-GB"/>
        </w:rPr>
        <w:t>require European digital service providers (ISPs, transport operators, etc.) to systematically offer European alternatives when partnering with third-party platforms (e.g., marketplaces, ride-hailing services, etc.), to guarantee user freedom of choice, boost the European digital sector and reduce dependence on non-European actors,</w:t>
      </w:r>
    </w:p>
    <w:p w14:paraId="3E49EB8E"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34DE89DE"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r w:rsidRPr="00F31157">
        <w:rPr>
          <w:rFonts w:ascii="Gill Sans MT" w:eastAsia="Times New Roman" w:hAnsi="Gill Sans MT" w:cs="Open Sans"/>
          <w:b/>
          <w:bCs/>
          <w:color w:val="000000"/>
          <w:lang w:val="en-US" w:eastAsia="en-GB"/>
        </w:rPr>
        <w:t>Calls on the European Parliament to:</w:t>
      </w:r>
      <w:r w:rsidRPr="00F31157">
        <w:rPr>
          <w:rFonts w:ascii="Gill Sans MT" w:eastAsia="Times New Roman" w:hAnsi="Gill Sans MT" w:cs="Open Sans"/>
          <w:bCs/>
          <w:color w:val="000000"/>
          <w:lang w:val="en-US" w:eastAsia="en-GB"/>
        </w:rPr>
        <w:t xml:space="preserve"> </w:t>
      </w:r>
    </w:p>
    <w:p w14:paraId="585BD6F9"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p>
    <w:p w14:paraId="5652F9AE" w14:textId="77777777" w:rsidR="00196A75" w:rsidRPr="00523374" w:rsidRDefault="00196A75" w:rsidP="00196A75">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523374">
        <w:rPr>
          <w:rFonts w:ascii="Gill Sans MT" w:eastAsia="Times New Roman" w:hAnsi="Gill Sans MT" w:cs="Open Sans"/>
          <w:bCs/>
          <w:color w:val="000000"/>
          <w:lang w:val="en-US" w:eastAsia="en-GB"/>
        </w:rPr>
        <w:t>strengthen parliamentary oversight of the implementation of the DMA and DSA, and publish an annual report on progress in digital sovereignty</w:t>
      </w:r>
      <w:r>
        <w:rPr>
          <w:rFonts w:ascii="Gill Sans MT" w:eastAsia="Times New Roman" w:hAnsi="Gill Sans MT" w:cs="Open Sans"/>
          <w:bCs/>
          <w:color w:val="000000"/>
          <w:lang w:val="en-US" w:eastAsia="en-GB"/>
        </w:rPr>
        <w:t>,</w:t>
      </w:r>
    </w:p>
    <w:p w14:paraId="48415F47"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0EF1032F"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r w:rsidRPr="00F31157">
        <w:rPr>
          <w:rFonts w:ascii="Gill Sans MT" w:eastAsia="Times New Roman" w:hAnsi="Gill Sans MT" w:cs="Open Sans"/>
          <w:b/>
          <w:bCs/>
          <w:color w:val="000000"/>
          <w:lang w:val="en-US" w:eastAsia="en-GB"/>
        </w:rPr>
        <w:t>Invites the Member States to:</w:t>
      </w:r>
      <w:r w:rsidRPr="00F31157">
        <w:rPr>
          <w:rFonts w:ascii="Gill Sans MT" w:eastAsia="Times New Roman" w:hAnsi="Gill Sans MT" w:cs="Open Sans"/>
          <w:bCs/>
          <w:color w:val="000000"/>
          <w:lang w:val="en-US" w:eastAsia="en-GB"/>
        </w:rPr>
        <w:t xml:space="preserve"> </w:t>
      </w:r>
    </w:p>
    <w:p w14:paraId="4F13D420"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p>
    <w:p w14:paraId="46BDB65A" w14:textId="77777777" w:rsidR="00196A75" w:rsidRPr="00523374" w:rsidRDefault="00196A75" w:rsidP="00196A75">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523374">
        <w:rPr>
          <w:rFonts w:ascii="Gill Sans MT" w:eastAsia="Times New Roman" w:hAnsi="Gill Sans MT" w:cs="Open Sans"/>
          <w:bCs/>
          <w:color w:val="000000"/>
          <w:lang w:val="en-US" w:eastAsia="en-GB"/>
        </w:rPr>
        <w:t xml:space="preserve">generalize the use of European alternatives in their public administrations </w:t>
      </w:r>
      <w:r>
        <w:rPr>
          <w:rFonts w:ascii="Gill Sans MT" w:eastAsia="Times New Roman" w:hAnsi="Gill Sans MT" w:cs="Open Sans"/>
          <w:bCs/>
          <w:color w:val="000000"/>
          <w:lang w:val="en-US" w:eastAsia="en-GB"/>
        </w:rPr>
        <w:t>as soon as possible</w:t>
      </w:r>
      <w:r w:rsidRPr="00523374">
        <w:rPr>
          <w:rFonts w:ascii="Gill Sans MT" w:eastAsia="Times New Roman" w:hAnsi="Gill Sans MT" w:cs="Open Sans"/>
          <w:bCs/>
          <w:color w:val="000000"/>
          <w:lang w:val="en-US" w:eastAsia="en-GB"/>
        </w:rPr>
        <w:t>, prioritizing communication and sensitive data storage tools, and harmonize their public procurement policies to foster the emergence of an integrated European digital ecosystem</w:t>
      </w:r>
      <w:r>
        <w:rPr>
          <w:rFonts w:ascii="Gill Sans MT" w:eastAsia="Times New Roman" w:hAnsi="Gill Sans MT" w:cs="Open Sans"/>
          <w:bCs/>
          <w:color w:val="000000"/>
          <w:lang w:val="en-US" w:eastAsia="en-GB"/>
        </w:rPr>
        <w:t>,</w:t>
      </w:r>
    </w:p>
    <w:p w14:paraId="770975A8" w14:textId="77777777" w:rsidR="00196A75" w:rsidRDefault="00196A75" w:rsidP="00196A75">
      <w:pPr>
        <w:shd w:val="clear" w:color="auto" w:fill="FFFFFF"/>
        <w:spacing w:line="276" w:lineRule="auto"/>
        <w:rPr>
          <w:rFonts w:ascii="Gill Sans MT" w:eastAsia="Times New Roman" w:hAnsi="Gill Sans MT" w:cs="Open Sans"/>
          <w:b/>
          <w:bCs/>
          <w:color w:val="000000"/>
          <w:lang w:val="en-US" w:eastAsia="en-GB"/>
        </w:rPr>
      </w:pPr>
    </w:p>
    <w:p w14:paraId="40F39B80"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r w:rsidRPr="00F31157">
        <w:rPr>
          <w:rFonts w:ascii="Gill Sans MT" w:eastAsia="Times New Roman" w:hAnsi="Gill Sans MT" w:cs="Open Sans"/>
          <w:b/>
          <w:bCs/>
          <w:color w:val="000000"/>
          <w:lang w:val="en-US" w:eastAsia="en-GB"/>
        </w:rPr>
        <w:t xml:space="preserve">Mandates the UEF </w:t>
      </w:r>
      <w:r>
        <w:rPr>
          <w:rFonts w:ascii="Gill Sans MT" w:eastAsia="Times New Roman" w:hAnsi="Gill Sans MT" w:cs="Open Sans"/>
          <w:b/>
          <w:bCs/>
          <w:color w:val="000000"/>
          <w:lang w:val="en-US" w:eastAsia="en-GB"/>
        </w:rPr>
        <w:t xml:space="preserve">Bureau </w:t>
      </w:r>
      <w:r w:rsidRPr="00F31157">
        <w:rPr>
          <w:rFonts w:ascii="Gill Sans MT" w:eastAsia="Times New Roman" w:hAnsi="Gill Sans MT" w:cs="Open Sans"/>
          <w:b/>
          <w:bCs/>
          <w:color w:val="000000"/>
          <w:lang w:val="en-US" w:eastAsia="en-GB"/>
        </w:rPr>
        <w:t xml:space="preserve">and </w:t>
      </w:r>
      <w:r>
        <w:rPr>
          <w:rFonts w:ascii="Gill Sans MT" w:eastAsia="Times New Roman" w:hAnsi="Gill Sans MT" w:cs="Open Sans"/>
          <w:b/>
          <w:bCs/>
          <w:color w:val="000000"/>
          <w:lang w:val="en-US" w:eastAsia="en-GB"/>
        </w:rPr>
        <w:t>propose to</w:t>
      </w:r>
      <w:r w:rsidRPr="00F31157">
        <w:rPr>
          <w:rFonts w:ascii="Gill Sans MT" w:eastAsia="Times New Roman" w:hAnsi="Gill Sans MT" w:cs="Open Sans"/>
          <w:b/>
          <w:bCs/>
          <w:color w:val="000000"/>
          <w:lang w:val="en-US" w:eastAsia="en-GB"/>
        </w:rPr>
        <w:t xml:space="preserve"> national sections to:</w:t>
      </w:r>
      <w:r w:rsidRPr="00F31157">
        <w:rPr>
          <w:rFonts w:ascii="Gill Sans MT" w:eastAsia="Times New Roman" w:hAnsi="Gill Sans MT" w:cs="Open Sans"/>
          <w:bCs/>
          <w:color w:val="000000"/>
          <w:lang w:val="en-US" w:eastAsia="en-GB"/>
        </w:rPr>
        <w:t xml:space="preserve"> </w:t>
      </w:r>
    </w:p>
    <w:p w14:paraId="5CA165E0" w14:textId="77777777" w:rsidR="00196A75" w:rsidRDefault="00196A75" w:rsidP="00196A75">
      <w:pPr>
        <w:shd w:val="clear" w:color="auto" w:fill="FFFFFF"/>
        <w:spacing w:line="276" w:lineRule="auto"/>
        <w:rPr>
          <w:rFonts w:ascii="Gill Sans MT" w:eastAsia="Times New Roman" w:hAnsi="Gill Sans MT" w:cs="Open Sans"/>
          <w:bCs/>
          <w:color w:val="000000"/>
          <w:lang w:val="en-US" w:eastAsia="en-GB"/>
        </w:rPr>
      </w:pPr>
    </w:p>
    <w:p w14:paraId="36CE1D30" w14:textId="77777777" w:rsidR="00196A75" w:rsidRPr="00EB0419" w:rsidRDefault="00196A75" w:rsidP="00196A75">
      <w:pPr>
        <w:pStyle w:val="Paragrafoelenco"/>
        <w:numPr>
          <w:ilvl w:val="0"/>
          <w:numId w:val="16"/>
        </w:numPr>
        <w:shd w:val="clear" w:color="auto" w:fill="FFFFFF"/>
        <w:suppressAutoHyphens w:val="0"/>
        <w:spacing w:line="276" w:lineRule="auto"/>
        <w:jc w:val="both"/>
        <w:rPr>
          <w:rFonts w:ascii="Gill Sans MT" w:eastAsia="Times New Roman" w:hAnsi="Gill Sans MT" w:cs="Open Sans"/>
          <w:bCs/>
          <w:color w:val="000000"/>
          <w:lang w:val="en-US" w:eastAsia="en-GB"/>
        </w:rPr>
      </w:pPr>
      <w:r>
        <w:rPr>
          <w:rFonts w:ascii="Gill Sans MT" w:eastAsia="Times New Roman" w:hAnsi="Gill Sans MT" w:cs="Open Sans"/>
          <w:bCs/>
          <w:color w:val="000000"/>
          <w:lang w:val="en-US" w:eastAsia="en-GB"/>
        </w:rPr>
        <w:t xml:space="preserve">show example, and </w:t>
      </w:r>
      <w:r w:rsidRPr="00EB0419">
        <w:rPr>
          <w:rFonts w:ascii="Gill Sans MT" w:eastAsia="Times New Roman" w:hAnsi="Gill Sans MT" w:cs="Open Sans"/>
          <w:bCs/>
          <w:color w:val="000000"/>
          <w:lang w:val="en-US" w:eastAsia="en-GB"/>
        </w:rPr>
        <w:t>migrate</w:t>
      </w:r>
      <w:r>
        <w:rPr>
          <w:rFonts w:ascii="Gill Sans MT" w:eastAsia="Times New Roman" w:hAnsi="Gill Sans MT" w:cs="Open Sans"/>
          <w:bCs/>
          <w:color w:val="000000"/>
          <w:lang w:val="en-US" w:eastAsia="en-GB"/>
        </w:rPr>
        <w:t>, as soon as possible</w:t>
      </w:r>
      <w:r w:rsidRPr="00EB0419">
        <w:rPr>
          <w:rFonts w:ascii="Gill Sans MT" w:eastAsia="Times New Roman" w:hAnsi="Gill Sans MT" w:cs="Open Sans"/>
          <w:bCs/>
          <w:color w:val="000000"/>
          <w:lang w:val="en-US" w:eastAsia="en-GB"/>
        </w:rPr>
        <w:t>, to European digital tools for their internal and external activities, starting with communication and storage tools</w:t>
      </w:r>
      <w:r>
        <w:rPr>
          <w:rFonts w:ascii="Gill Sans MT" w:eastAsia="Times New Roman" w:hAnsi="Gill Sans MT" w:cs="Open Sans"/>
          <w:bCs/>
          <w:color w:val="000000"/>
          <w:lang w:val="en-US" w:eastAsia="en-GB"/>
        </w:rPr>
        <w:t>.</w:t>
      </w:r>
    </w:p>
    <w:p w14:paraId="5B4A3841" w14:textId="576B8172" w:rsidR="00B96057" w:rsidRPr="00072C21" w:rsidRDefault="004D33EA" w:rsidP="004D33EA">
      <w:pPr>
        <w:jc w:val="both"/>
        <w:rPr>
          <w:b/>
          <w:bCs/>
          <w:lang w:val="en-US"/>
        </w:rPr>
      </w:pPr>
      <w:r>
        <w:rPr>
          <w:rFonts w:ascii="Gill Sans MT" w:hAnsi="Gill Sans MT" w:cs="Open Sans"/>
          <w:bCs/>
          <w:color w:val="000000"/>
          <w:lang w:val="en-US" w:eastAsia="en-GB"/>
        </w:rPr>
        <w:br w:type="page"/>
      </w:r>
    </w:p>
    <w:p w14:paraId="37850610" w14:textId="693F8840"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r w:rsidRPr="00216220">
        <w:rPr>
          <w:rFonts w:ascii="Gill Sans MT" w:hAnsi="Gill Sans MT" w:cs="Arial"/>
          <w:b/>
          <w:caps/>
          <w:color w:val="FFFFFF"/>
          <w:szCs w:val="22"/>
          <w:lang w:val="en-US"/>
        </w:rPr>
        <w:lastRenderedPageBreak/>
        <w:t>amendment</w:t>
      </w:r>
      <w:r w:rsidR="00072C21">
        <w:rPr>
          <w:rFonts w:ascii="Gill Sans MT" w:hAnsi="Gill Sans MT" w:cs="Arial"/>
          <w:b/>
          <w:caps/>
          <w:color w:val="FFFFFF"/>
          <w:szCs w:val="22"/>
          <w:lang w:val="en-US"/>
        </w:rPr>
        <w:t>S</w:t>
      </w:r>
    </w:p>
    <w:p w14:paraId="05466E1B" w14:textId="77777777" w:rsidR="00AD45E5" w:rsidRDefault="00AD45E5"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E66A90" w14:paraId="58B0D129"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8B786" w14:textId="77777777" w:rsidR="00E66A90" w:rsidRDefault="00E66A90"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53D63" w14:textId="2D68B052" w:rsidR="00E66A90" w:rsidRDefault="00E66A90"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E66A90" w14:paraId="446472F1"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4F5B4" w14:textId="77777777" w:rsidR="00E66A90" w:rsidRDefault="00E66A90"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2ABC4" w14:textId="6C9E3B8F" w:rsidR="00E66A90" w:rsidRDefault="00E66A90" w:rsidP="00045687">
            <w:pPr>
              <w:suppressLineNumbers/>
              <w:jc w:val="center"/>
              <w:rPr>
                <w:lang w:val="en-GB"/>
              </w:rPr>
            </w:pPr>
            <w:r>
              <w:rPr>
                <w:lang w:val="en-GB"/>
              </w:rPr>
              <w:t>1</w:t>
            </w:r>
          </w:p>
        </w:tc>
      </w:tr>
      <w:tr w:rsidR="00E66A90" w14:paraId="4601049C"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A613D" w14:textId="77777777" w:rsidR="00E66A90" w:rsidRDefault="00E66A90"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14B43" w14:textId="77777777" w:rsidR="00E66A90" w:rsidRDefault="00E66A90" w:rsidP="00045687">
            <w:pPr>
              <w:suppressLineNumbers/>
              <w:jc w:val="center"/>
              <w:rPr>
                <w:lang w:val="en-GB"/>
              </w:rPr>
            </w:pPr>
            <w:r w:rsidRPr="42DE0EC4">
              <w:rPr>
                <w:rFonts w:ascii="Calibri" w:hAnsi="Calibri" w:cs="Calibri"/>
                <w:b/>
                <w:bCs/>
                <w:sz w:val="22"/>
                <w:szCs w:val="22"/>
                <w:lang w:val="en-GB"/>
              </w:rPr>
              <w:t>Amended text</w:t>
            </w:r>
          </w:p>
        </w:tc>
      </w:tr>
      <w:tr w:rsidR="00E66A90" w:rsidRPr="00AD45E5" w14:paraId="78D24AB3" w14:textId="77777777" w:rsidTr="00E66A90">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B5E9B" w14:textId="66A6A010" w:rsidR="00E66A90" w:rsidRPr="00B41C1C" w:rsidRDefault="00E66A90" w:rsidP="00E66A90">
            <w:pPr>
              <w:pStyle w:val="NormaleWeb"/>
              <w:suppressLineNumbers/>
              <w:rPr>
                <w:rFonts w:ascii="Gill Sans MT" w:hAnsi="Gill Sans MT"/>
                <w:sz w:val="22"/>
                <w:szCs w:val="22"/>
                <w:lang w:val="en-GB"/>
              </w:rPr>
            </w:pPr>
            <w:r w:rsidRPr="00E66A90">
              <w:rPr>
                <w:rFonts w:ascii="Gill Sans MT" w:hAnsi="Gill Sans MT"/>
                <w:sz w:val="22"/>
                <w:szCs w:val="22"/>
                <w:lang w:val="en-GB"/>
              </w:rPr>
              <w:t>European</w:t>
            </w:r>
            <w:r>
              <w:rPr>
                <w:rFonts w:ascii="Gill Sans MT" w:hAnsi="Gill Sans MT"/>
                <w:sz w:val="22"/>
                <w:szCs w:val="22"/>
                <w:lang w:val="en-GB"/>
              </w:rPr>
              <w:t xml:space="preserve"> </w:t>
            </w:r>
            <w:r w:rsidRPr="00E66A90">
              <w:rPr>
                <w:rFonts w:ascii="Gill Sans MT" w:hAnsi="Gill Sans MT"/>
                <w:sz w:val="22"/>
                <w:szCs w:val="22"/>
                <w:lang w:val="en-GB"/>
              </w:rPr>
              <w:t>Digital Sovereignty Now</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908C4" w14:textId="5B37673C" w:rsidR="00E66A90" w:rsidRPr="00E66A90" w:rsidRDefault="00E66A90" w:rsidP="00E66A90">
            <w:pPr>
              <w:pStyle w:val="NormaleWeb"/>
              <w:suppressLineNumbers/>
              <w:rPr>
                <w:rFonts w:ascii="Gill Sans MT" w:hAnsi="Gill Sans MT"/>
                <w:sz w:val="22"/>
                <w:szCs w:val="22"/>
                <w:lang w:val="en-GB"/>
              </w:rPr>
            </w:pPr>
            <w:r w:rsidRPr="00E66A90">
              <w:rPr>
                <w:rFonts w:ascii="Gill Sans MT" w:hAnsi="Gill Sans MT"/>
                <w:sz w:val="22"/>
                <w:szCs w:val="22"/>
                <w:lang w:val="en-GB"/>
              </w:rPr>
              <w:t>Encouraging EU institution and civil society to</w:t>
            </w:r>
            <w:r>
              <w:rPr>
                <w:rFonts w:ascii="Gill Sans MT" w:hAnsi="Gill Sans MT"/>
                <w:sz w:val="22"/>
                <w:szCs w:val="22"/>
                <w:lang w:val="en-GB"/>
              </w:rPr>
              <w:t xml:space="preserve"> </w:t>
            </w:r>
            <w:r w:rsidRPr="00E66A90">
              <w:rPr>
                <w:rFonts w:ascii="Gill Sans MT" w:hAnsi="Gill Sans MT"/>
                <w:sz w:val="22"/>
                <w:szCs w:val="22"/>
                <w:lang w:val="en-GB"/>
              </w:rPr>
              <w:t>migrate to EU compliant digital tools</w:t>
            </w:r>
          </w:p>
        </w:tc>
      </w:tr>
      <w:tr w:rsidR="00E66A90" w:rsidRPr="00AD45E5" w14:paraId="10A917BF"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8ACD7" w14:textId="77777777" w:rsidR="00E66A90" w:rsidRDefault="00E66A90"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330EF" w14:textId="77777777" w:rsidR="00E66A90" w:rsidRDefault="00E66A90" w:rsidP="00E66A90">
            <w:pPr>
              <w:suppressLineNumbers/>
              <w:jc w:val="both"/>
              <w:rPr>
                <w:lang w:val="en-GB"/>
              </w:rPr>
            </w:pPr>
          </w:p>
        </w:tc>
      </w:tr>
    </w:tbl>
    <w:p w14:paraId="6A00A870" w14:textId="77777777" w:rsidR="00E66A90" w:rsidRDefault="00E66A90"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E66A90" w14:paraId="7F7ED908"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C0EE9" w14:textId="77777777" w:rsidR="00E66A90" w:rsidRDefault="00E66A90"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4ECD7" w14:textId="77777777" w:rsidR="00E66A90" w:rsidRDefault="00E66A90"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E66A90" w14:paraId="63266F13"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8FB72" w14:textId="77777777" w:rsidR="00E66A90" w:rsidRDefault="00E66A90"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321DA" w14:textId="687780B0" w:rsidR="00E66A90" w:rsidRDefault="00E66A90" w:rsidP="00045687">
            <w:pPr>
              <w:suppressLineNumbers/>
              <w:jc w:val="center"/>
              <w:rPr>
                <w:lang w:val="en-GB"/>
              </w:rPr>
            </w:pPr>
            <w:r>
              <w:rPr>
                <w:lang w:val="en-GB"/>
              </w:rPr>
              <w:t>9-12</w:t>
            </w:r>
          </w:p>
        </w:tc>
      </w:tr>
      <w:tr w:rsidR="00E66A90" w14:paraId="32848A7A"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025A9" w14:textId="77777777" w:rsidR="00E66A90" w:rsidRDefault="00E66A90"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1A49A" w14:textId="77777777" w:rsidR="00E66A90" w:rsidRDefault="00E66A90" w:rsidP="00045687">
            <w:pPr>
              <w:suppressLineNumbers/>
              <w:jc w:val="center"/>
              <w:rPr>
                <w:lang w:val="en-GB"/>
              </w:rPr>
            </w:pPr>
            <w:r w:rsidRPr="42DE0EC4">
              <w:rPr>
                <w:rFonts w:ascii="Calibri" w:hAnsi="Calibri" w:cs="Calibri"/>
                <w:b/>
                <w:bCs/>
                <w:sz w:val="22"/>
                <w:szCs w:val="22"/>
                <w:lang w:val="en-GB"/>
              </w:rPr>
              <w:t>Amended text</w:t>
            </w:r>
          </w:p>
        </w:tc>
      </w:tr>
      <w:tr w:rsidR="00E66A90" w:rsidRPr="00AD45E5" w14:paraId="3B68240C"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83861" w14:textId="77777777" w:rsidR="00E66A90" w:rsidRPr="00072C21" w:rsidRDefault="00E66A90" w:rsidP="00E66A90">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 xml:space="preserve">the Treaty on European Union and the European Parliament’s resolutions, underlining the need for strategic autonomy in all areas, including the digital sector, </w:t>
            </w:r>
          </w:p>
          <w:p w14:paraId="0F679192" w14:textId="77777777" w:rsidR="00E66A90" w:rsidRPr="00072C21" w:rsidRDefault="00E66A90" w:rsidP="00E66A90">
            <w:pPr>
              <w:pStyle w:val="Paragrafoelenco"/>
              <w:numPr>
                <w:ilvl w:val="0"/>
                <w:numId w:val="17"/>
              </w:numPr>
              <w:shd w:val="clear" w:color="auto" w:fill="FFFFFF"/>
              <w:suppressAutoHyphens w:val="0"/>
              <w:spacing w:line="276" w:lineRule="auto"/>
              <w:jc w:val="both"/>
              <w:rPr>
                <w:rFonts w:ascii="Gill Sans MT" w:eastAsia="Times New Roman" w:hAnsi="Gill Sans MT" w:cs="Open Sans"/>
                <w:bCs/>
                <w:color w:val="000000"/>
                <w:lang w:val="en-US" w:eastAsia="en-GB"/>
              </w:rPr>
            </w:pPr>
            <w:r w:rsidRPr="002F45A2">
              <w:rPr>
                <w:rFonts w:ascii="Gill Sans MT" w:eastAsia="Times New Roman" w:hAnsi="Gill Sans MT" w:cs="Open Sans"/>
                <w:bCs/>
                <w:color w:val="000000"/>
                <w:lang w:val="en-US" w:eastAsia="en-GB"/>
              </w:rPr>
              <w:t>the General Data Protection Regulation (GDPR), to the Digital Markets Act (DMA) and the Digital Services Act (DSA),</w:t>
            </w:r>
          </w:p>
          <w:p w14:paraId="21C13EB1" w14:textId="4B90CCA8" w:rsidR="00E66A90" w:rsidRPr="00B41C1C" w:rsidRDefault="00E66A90" w:rsidP="00045687">
            <w:pPr>
              <w:pStyle w:val="NormaleWeb"/>
              <w:suppressLineNumbers/>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8E7C4" w14:textId="63F8767D" w:rsidR="00E66A90" w:rsidRPr="00E66A90" w:rsidRDefault="00E66A90" w:rsidP="00E66A90">
            <w:pPr>
              <w:pStyle w:val="NormaleWeb"/>
              <w:suppressLineNumbers/>
              <w:rPr>
                <w:rFonts w:ascii="Gill Sans MT" w:hAnsi="Gill Sans MT"/>
                <w:sz w:val="22"/>
                <w:szCs w:val="22"/>
                <w:lang w:val="en-GB"/>
              </w:rPr>
            </w:pPr>
            <w:r>
              <w:rPr>
                <w:rFonts w:ascii="Gill Sans MT" w:hAnsi="Gill Sans MT"/>
                <w:sz w:val="22"/>
                <w:szCs w:val="22"/>
                <w:lang w:val="en-GB"/>
              </w:rPr>
              <w:t xml:space="preserve">- </w:t>
            </w:r>
            <w:r w:rsidRPr="00E66A90">
              <w:rPr>
                <w:rFonts w:ascii="Gill Sans MT" w:hAnsi="Gill Sans MT"/>
                <w:sz w:val="22"/>
                <w:szCs w:val="22"/>
                <w:lang w:val="en-GB"/>
              </w:rPr>
              <w:t>the Treaty on European Union and the European Parliament’s resolutions,</w:t>
            </w:r>
            <w:r>
              <w:rPr>
                <w:rFonts w:ascii="Gill Sans MT" w:hAnsi="Gill Sans MT"/>
                <w:sz w:val="22"/>
                <w:szCs w:val="22"/>
                <w:lang w:val="en-GB"/>
              </w:rPr>
              <w:t xml:space="preserve"> </w:t>
            </w:r>
            <w:r w:rsidRPr="00E66A90">
              <w:rPr>
                <w:rFonts w:ascii="Gill Sans MT" w:hAnsi="Gill Sans MT"/>
                <w:sz w:val="22"/>
                <w:szCs w:val="22"/>
                <w:lang w:val="en-GB"/>
              </w:rPr>
              <w:t xml:space="preserve">underlining the </w:t>
            </w:r>
            <w:r w:rsidRPr="00E66A90">
              <w:rPr>
                <w:rFonts w:ascii="Gill Sans MT" w:hAnsi="Gill Sans MT"/>
                <w:b/>
                <w:bCs/>
                <w:sz w:val="22"/>
                <w:szCs w:val="22"/>
                <w:lang w:val="en-GB"/>
              </w:rPr>
              <w:t>role of the EU to uphold and promote its values and interests</w:t>
            </w:r>
            <w:r w:rsidRPr="00E66A90">
              <w:rPr>
                <w:rFonts w:ascii="Gill Sans MT" w:hAnsi="Gill Sans MT"/>
                <w:b/>
                <w:bCs/>
                <w:sz w:val="22"/>
                <w:szCs w:val="22"/>
                <w:lang w:val="en-GB"/>
              </w:rPr>
              <w:t xml:space="preserve"> </w:t>
            </w:r>
            <w:r w:rsidRPr="00E66A90">
              <w:rPr>
                <w:rFonts w:ascii="Gill Sans MT" w:hAnsi="Gill Sans MT"/>
                <w:b/>
                <w:bCs/>
                <w:sz w:val="22"/>
                <w:szCs w:val="22"/>
                <w:lang w:val="en-GB"/>
              </w:rPr>
              <w:t>and contribute to the protection of its citizens</w:t>
            </w:r>
            <w:r w:rsidRPr="00E66A90">
              <w:rPr>
                <w:rFonts w:ascii="Gill Sans MT" w:hAnsi="Gill Sans MT"/>
                <w:sz w:val="22"/>
                <w:szCs w:val="22"/>
                <w:lang w:val="en-GB"/>
              </w:rPr>
              <w:t xml:space="preserve"> in</w:t>
            </w:r>
            <w:r>
              <w:rPr>
                <w:rFonts w:ascii="Gill Sans MT" w:hAnsi="Gill Sans MT"/>
                <w:sz w:val="22"/>
                <w:szCs w:val="22"/>
                <w:lang w:val="en-GB"/>
              </w:rPr>
              <w:t xml:space="preserve"> </w:t>
            </w:r>
            <w:r w:rsidRPr="00E66A90">
              <w:rPr>
                <w:rFonts w:ascii="Gill Sans MT" w:hAnsi="Gill Sans MT"/>
                <w:sz w:val="22"/>
                <w:szCs w:val="22"/>
                <w:lang w:val="en-GB"/>
              </w:rPr>
              <w:t>all areas, including the digital sector,</w:t>
            </w:r>
          </w:p>
          <w:p w14:paraId="30AEB998" w14:textId="77777777" w:rsidR="00E66A90" w:rsidRPr="00E66A90" w:rsidRDefault="00E66A90" w:rsidP="00E66A90">
            <w:pPr>
              <w:pStyle w:val="NormaleWeb"/>
              <w:suppressLineNumbers/>
              <w:rPr>
                <w:rFonts w:ascii="Gill Sans MT" w:hAnsi="Gill Sans MT"/>
                <w:b/>
                <w:bCs/>
                <w:sz w:val="22"/>
                <w:szCs w:val="22"/>
                <w:lang w:val="en-GB"/>
              </w:rPr>
            </w:pPr>
            <w:r w:rsidRPr="00E66A90">
              <w:rPr>
                <w:rFonts w:ascii="Gill Sans MT" w:hAnsi="Gill Sans MT"/>
                <w:b/>
                <w:bCs/>
                <w:sz w:val="22"/>
                <w:szCs w:val="22"/>
                <w:lang w:val="en-GB"/>
              </w:rPr>
              <w:t>- The territorial application of the General Data Protection Regulation (GDPR)</w:t>
            </w:r>
            <w:r w:rsidRPr="00E66A90">
              <w:rPr>
                <w:rFonts w:ascii="Gill Sans MT" w:hAnsi="Gill Sans MT"/>
                <w:b/>
                <w:bCs/>
                <w:sz w:val="22"/>
                <w:szCs w:val="22"/>
                <w:lang w:val="en-GB"/>
              </w:rPr>
              <w:t xml:space="preserve"> </w:t>
            </w:r>
            <w:r w:rsidRPr="00E66A90">
              <w:rPr>
                <w:rFonts w:ascii="Gill Sans MT" w:hAnsi="Gill Sans MT"/>
                <w:b/>
                <w:bCs/>
                <w:sz w:val="22"/>
                <w:szCs w:val="22"/>
                <w:lang w:val="en-GB"/>
              </w:rPr>
              <w:t>to the European Economic Space, </w:t>
            </w:r>
          </w:p>
          <w:p w14:paraId="4A917BAB" w14:textId="2D67B07F" w:rsidR="00E66A90" w:rsidRPr="00E66A90" w:rsidRDefault="00E66A90" w:rsidP="00E66A90">
            <w:pPr>
              <w:pStyle w:val="NormaleWeb"/>
              <w:suppressLineNumbers/>
              <w:rPr>
                <w:rFonts w:ascii="Gill Sans MT" w:hAnsi="Gill Sans MT"/>
                <w:b/>
                <w:bCs/>
                <w:sz w:val="22"/>
                <w:szCs w:val="22"/>
                <w:lang w:val="en-GB"/>
              </w:rPr>
            </w:pPr>
            <w:r w:rsidRPr="00E66A90">
              <w:rPr>
                <w:rFonts w:ascii="Gill Sans MT" w:hAnsi="Gill Sans MT"/>
                <w:b/>
                <w:bCs/>
                <w:sz w:val="22"/>
                <w:szCs w:val="22"/>
                <w:lang w:val="en-GB"/>
              </w:rPr>
              <w:t>- T</w:t>
            </w:r>
            <w:r w:rsidRPr="00E66A90">
              <w:rPr>
                <w:rFonts w:ascii="Gill Sans MT" w:hAnsi="Gill Sans MT"/>
                <w:b/>
                <w:bCs/>
                <w:sz w:val="22"/>
                <w:szCs w:val="22"/>
                <w:lang w:val="en-GB"/>
              </w:rPr>
              <w:t>he territorial application of the Digital Markets Act (DMA) and the Digital</w:t>
            </w:r>
            <w:r w:rsidRPr="00E66A90">
              <w:rPr>
                <w:rFonts w:ascii="Gill Sans MT" w:hAnsi="Gill Sans MT"/>
                <w:b/>
                <w:bCs/>
                <w:sz w:val="22"/>
                <w:szCs w:val="22"/>
                <w:lang w:val="en-GB"/>
              </w:rPr>
              <w:t xml:space="preserve"> </w:t>
            </w:r>
            <w:r w:rsidRPr="00E66A90">
              <w:rPr>
                <w:rFonts w:ascii="Gill Sans MT" w:hAnsi="Gill Sans MT"/>
                <w:b/>
                <w:bCs/>
                <w:sz w:val="22"/>
                <w:szCs w:val="22"/>
                <w:lang w:val="en-GB"/>
              </w:rPr>
              <w:t>Services Act (DSA) to the EU,</w:t>
            </w:r>
          </w:p>
          <w:p w14:paraId="0D8ED403" w14:textId="3C018D54" w:rsidR="00E66A90" w:rsidRPr="00E66A90" w:rsidRDefault="00E66A90" w:rsidP="00E66A90">
            <w:pPr>
              <w:pStyle w:val="NormaleWeb"/>
              <w:suppressLineNumbers/>
              <w:rPr>
                <w:rFonts w:ascii="Gill Sans MT" w:hAnsi="Gill Sans MT"/>
                <w:sz w:val="22"/>
                <w:szCs w:val="22"/>
                <w:lang w:val="en-GB"/>
              </w:rPr>
            </w:pPr>
            <w:r>
              <w:rPr>
                <w:rFonts w:ascii="Gill Sans MT" w:hAnsi="Gill Sans MT"/>
                <w:sz w:val="22"/>
                <w:szCs w:val="22"/>
                <w:lang w:val="en-GB"/>
              </w:rPr>
              <w:t xml:space="preserve">- </w:t>
            </w:r>
            <w:r w:rsidRPr="00E66A90">
              <w:rPr>
                <w:rFonts w:ascii="Gill Sans MT" w:hAnsi="Gill Sans MT"/>
                <w:strike/>
                <w:sz w:val="22"/>
                <w:szCs w:val="22"/>
                <w:lang w:val="en-GB"/>
              </w:rPr>
              <w:t>the General Data Protection Regulation (GDPR), to the Digital Markets Act</w:t>
            </w:r>
            <w:r w:rsidRPr="00E66A90">
              <w:rPr>
                <w:rFonts w:ascii="Gill Sans MT" w:hAnsi="Gill Sans MT"/>
                <w:strike/>
                <w:sz w:val="22"/>
                <w:szCs w:val="22"/>
                <w:lang w:val="en-GB"/>
              </w:rPr>
              <w:t xml:space="preserve"> </w:t>
            </w:r>
            <w:r w:rsidRPr="00E66A90">
              <w:rPr>
                <w:rFonts w:ascii="Gill Sans MT" w:hAnsi="Gill Sans MT"/>
                <w:strike/>
                <w:sz w:val="22"/>
                <w:szCs w:val="22"/>
                <w:lang w:val="en-GB"/>
              </w:rPr>
              <w:t>(DMA) and the Digital Services Act (DSA),</w:t>
            </w:r>
          </w:p>
        </w:tc>
      </w:tr>
      <w:tr w:rsidR="00E66A90" w:rsidRPr="00AD45E5" w14:paraId="230B16CB"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BB99A" w14:textId="77777777" w:rsidR="00E66A90" w:rsidRDefault="00E66A90"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C093B" w14:textId="77777777" w:rsidR="00E66A90" w:rsidRDefault="00E66A90" w:rsidP="00045687">
            <w:pPr>
              <w:suppressLineNumbers/>
              <w:jc w:val="both"/>
              <w:rPr>
                <w:lang w:val="en-GB"/>
              </w:rPr>
            </w:pPr>
          </w:p>
        </w:tc>
      </w:tr>
    </w:tbl>
    <w:p w14:paraId="1BBD370E" w14:textId="77777777" w:rsidR="00E66A90" w:rsidRDefault="00E66A90"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E66A90" w14:paraId="4AC52F5D"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B6C96" w14:textId="77777777" w:rsidR="00E66A90" w:rsidRDefault="00E66A90"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18698" w14:textId="77777777" w:rsidR="00E66A90" w:rsidRDefault="00E66A90"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E66A90" w14:paraId="5C0FF91F"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6DAD4" w14:textId="77777777" w:rsidR="00E66A90" w:rsidRDefault="00E66A90"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5BAE7" w14:textId="25F98F5D" w:rsidR="00E66A90" w:rsidRDefault="00E66A90" w:rsidP="00045687">
            <w:pPr>
              <w:suppressLineNumbers/>
              <w:jc w:val="center"/>
              <w:rPr>
                <w:lang w:val="en-GB"/>
              </w:rPr>
            </w:pPr>
            <w:r>
              <w:rPr>
                <w:lang w:val="en-GB"/>
              </w:rPr>
              <w:t>30-31</w:t>
            </w:r>
          </w:p>
        </w:tc>
      </w:tr>
      <w:tr w:rsidR="00E66A90" w14:paraId="70D56F73"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505DB" w14:textId="77777777" w:rsidR="00E66A90" w:rsidRDefault="00E66A90"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E9C77" w14:textId="77777777" w:rsidR="00E66A90" w:rsidRDefault="00E66A90" w:rsidP="00045687">
            <w:pPr>
              <w:suppressLineNumbers/>
              <w:jc w:val="center"/>
              <w:rPr>
                <w:lang w:val="en-GB"/>
              </w:rPr>
            </w:pPr>
            <w:r w:rsidRPr="42DE0EC4">
              <w:rPr>
                <w:rFonts w:ascii="Calibri" w:hAnsi="Calibri" w:cs="Calibri"/>
                <w:b/>
                <w:bCs/>
                <w:sz w:val="22"/>
                <w:szCs w:val="22"/>
                <w:lang w:val="en-GB"/>
              </w:rPr>
              <w:t>Amended text</w:t>
            </w:r>
          </w:p>
        </w:tc>
      </w:tr>
      <w:tr w:rsidR="00E66A90" w:rsidRPr="00AD45E5" w14:paraId="1932C3F0"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09D9" w14:textId="75A83D13" w:rsidR="00E66A90" w:rsidRPr="00E66A90" w:rsidRDefault="00E66A90" w:rsidP="00E66A90">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E66A90">
              <w:rPr>
                <w:rFonts w:ascii="Gill Sans MT" w:hAnsi="Gill Sans MT"/>
                <w:sz w:val="22"/>
                <w:szCs w:val="22"/>
                <w:lang w:val="en-GB"/>
              </w:rPr>
              <w:t>the DMA and DSA, although in force, struggle to reverse the dominance of</w:t>
            </w:r>
            <w:r w:rsidRPr="00E66A90">
              <w:rPr>
                <w:rFonts w:ascii="Gill Sans MT" w:hAnsi="Gill Sans MT"/>
                <w:sz w:val="22"/>
                <w:szCs w:val="22"/>
                <w:lang w:val="en-GB"/>
              </w:rPr>
              <w:t xml:space="preserve"> </w:t>
            </w:r>
            <w:r w:rsidRPr="00E66A90">
              <w:rPr>
                <w:rFonts w:ascii="Gill Sans MT" w:hAnsi="Gill Sans MT"/>
                <w:sz w:val="22"/>
                <w:szCs w:val="22"/>
                <w:lang w:val="en-GB"/>
              </w:rPr>
              <w:t>non-European digital actors in Europe,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74DB" w14:textId="523BFC69" w:rsidR="00E66A90" w:rsidRPr="00E66A90" w:rsidRDefault="00E66A90" w:rsidP="00E66A90">
            <w:pPr>
              <w:pStyle w:val="NormaleWeb"/>
              <w:numPr>
                <w:ilvl w:val="0"/>
                <w:numId w:val="18"/>
              </w:numPr>
              <w:suppressLineNumbers/>
              <w:rPr>
                <w:rFonts w:ascii="Gill Sans MT" w:hAnsi="Gill Sans MT"/>
                <w:sz w:val="22"/>
                <w:szCs w:val="22"/>
                <w:lang w:val="en-GB"/>
              </w:rPr>
            </w:pPr>
            <w:r w:rsidRPr="00E66A90">
              <w:rPr>
                <w:rFonts w:ascii="Gill Sans MT" w:hAnsi="Gill Sans MT"/>
                <w:sz w:val="22"/>
                <w:szCs w:val="22"/>
                <w:lang w:val="en-GB"/>
              </w:rPr>
              <w:t>the DMA and DSA, although in force, struggle to reverse the dominance of</w:t>
            </w:r>
            <w:r>
              <w:rPr>
                <w:rFonts w:ascii="Gill Sans MT" w:hAnsi="Gill Sans MT"/>
                <w:sz w:val="22"/>
                <w:szCs w:val="22"/>
                <w:lang w:val="en-GB"/>
              </w:rPr>
              <w:t xml:space="preserve"> </w:t>
            </w:r>
            <w:r w:rsidRPr="00E66A90">
              <w:rPr>
                <w:rFonts w:ascii="Gill Sans MT" w:hAnsi="Gill Sans MT"/>
                <w:b/>
                <w:bCs/>
                <w:sz w:val="22"/>
                <w:szCs w:val="22"/>
                <w:lang w:val="en-GB"/>
              </w:rPr>
              <w:t>extra-territorial</w:t>
            </w:r>
            <w:r w:rsidRPr="00E66A90">
              <w:rPr>
                <w:rFonts w:ascii="Gill Sans MT" w:hAnsi="Gill Sans MT"/>
                <w:sz w:val="22"/>
                <w:szCs w:val="22"/>
                <w:lang w:val="en-GB"/>
              </w:rPr>
              <w:t xml:space="preserve"> digital actors in Europe,</w:t>
            </w:r>
          </w:p>
        </w:tc>
      </w:tr>
      <w:tr w:rsidR="00E66A90" w:rsidRPr="00AD45E5" w14:paraId="46A90992"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38183" w14:textId="77777777" w:rsidR="00E66A90" w:rsidRDefault="00E66A90"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C68AF" w14:textId="77777777" w:rsidR="00E66A90" w:rsidRDefault="00E66A90" w:rsidP="00045687">
            <w:pPr>
              <w:suppressLineNumbers/>
              <w:jc w:val="both"/>
              <w:rPr>
                <w:lang w:val="en-GB"/>
              </w:rPr>
            </w:pPr>
          </w:p>
        </w:tc>
      </w:tr>
    </w:tbl>
    <w:p w14:paraId="6D9BBF40" w14:textId="77777777" w:rsidR="00E66A90" w:rsidRDefault="00E66A90" w:rsidP="00AD45E5">
      <w:pPr>
        <w:suppressLineNumbers/>
        <w:rPr>
          <w:rFonts w:ascii="Calibri" w:hAnsi="Calibri" w:cs="Arial"/>
          <w:b/>
          <w:color w:val="FF0000"/>
          <w:sz w:val="22"/>
          <w:szCs w:val="22"/>
          <w:lang w:val="en-US"/>
        </w:rPr>
      </w:pPr>
    </w:p>
    <w:p w14:paraId="775715C1" w14:textId="77777777" w:rsidR="00E66A90" w:rsidRDefault="00E66A90" w:rsidP="00AD45E5">
      <w:pPr>
        <w:suppressLineNumbers/>
        <w:rPr>
          <w:rFonts w:ascii="Calibri" w:hAnsi="Calibri" w:cs="Arial"/>
          <w:b/>
          <w:color w:val="FF0000"/>
          <w:sz w:val="22"/>
          <w:szCs w:val="22"/>
          <w:lang w:val="en-US"/>
        </w:rPr>
      </w:pPr>
    </w:p>
    <w:p w14:paraId="589B8C6F" w14:textId="77777777" w:rsidR="00E66A90" w:rsidRDefault="00E66A90" w:rsidP="00AD45E5">
      <w:pPr>
        <w:suppressLineNumbers/>
        <w:rPr>
          <w:rFonts w:ascii="Calibri" w:hAnsi="Calibri" w:cs="Arial"/>
          <w:b/>
          <w:color w:val="FF0000"/>
          <w:sz w:val="22"/>
          <w:szCs w:val="22"/>
          <w:lang w:val="en-US"/>
        </w:rPr>
      </w:pPr>
    </w:p>
    <w:p w14:paraId="337160A0" w14:textId="77777777" w:rsidR="00E66A90" w:rsidRDefault="00E66A90" w:rsidP="00AD45E5">
      <w:pPr>
        <w:suppressLineNumbers/>
        <w:rPr>
          <w:rFonts w:ascii="Calibri" w:hAnsi="Calibri" w:cs="Arial"/>
          <w:b/>
          <w:color w:val="FF0000"/>
          <w:sz w:val="22"/>
          <w:szCs w:val="22"/>
          <w:lang w:val="en-US"/>
        </w:rPr>
      </w:pPr>
    </w:p>
    <w:p w14:paraId="595F9030" w14:textId="77777777" w:rsidR="00E66A90" w:rsidRDefault="00E66A90" w:rsidP="00AD45E5">
      <w:pPr>
        <w:suppressLineNumbers/>
        <w:rPr>
          <w:rFonts w:ascii="Calibri" w:hAnsi="Calibri" w:cs="Arial"/>
          <w:b/>
          <w:color w:val="FF0000"/>
          <w:sz w:val="22"/>
          <w:szCs w:val="22"/>
          <w:lang w:val="en-US"/>
        </w:rPr>
      </w:pPr>
    </w:p>
    <w:p w14:paraId="2A54984A" w14:textId="77777777" w:rsidR="00E66A90" w:rsidRDefault="00E66A90"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072C21" w14:paraId="48BC3612" w14:textId="77777777" w:rsidTr="00C15A1C">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698A1" w14:textId="77777777" w:rsidR="00072C21" w:rsidRDefault="00072C21" w:rsidP="00C15A1C">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A42A9" w14:textId="570855C3" w:rsidR="00072C21" w:rsidRDefault="00072C21" w:rsidP="00C15A1C">
            <w:pPr>
              <w:suppressLineNumbers/>
              <w:jc w:val="center"/>
              <w:rPr>
                <w:rFonts w:ascii="Calibri" w:hAnsi="Calibri" w:cs="Calibri"/>
                <w:sz w:val="22"/>
                <w:szCs w:val="22"/>
                <w:lang w:val="en-GB"/>
              </w:rPr>
            </w:pPr>
            <w:r w:rsidRPr="42DE0EC4">
              <w:rPr>
                <w:rFonts w:ascii="Calibri" w:hAnsi="Calibri" w:cs="Calibri"/>
                <w:sz w:val="22"/>
                <w:szCs w:val="22"/>
                <w:lang w:val="en-GB"/>
              </w:rPr>
              <w:t>UEF Romania Section</w:t>
            </w:r>
          </w:p>
        </w:tc>
      </w:tr>
      <w:tr w:rsidR="00072C21" w14:paraId="73FAE7FE" w14:textId="77777777" w:rsidTr="00C15A1C">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320DC" w14:textId="77777777" w:rsidR="00072C21" w:rsidRDefault="00072C21" w:rsidP="00C15A1C">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08D56" w14:textId="77777777" w:rsidR="00072C21" w:rsidRDefault="00072C21" w:rsidP="00C15A1C">
            <w:pPr>
              <w:suppressLineNumbers/>
              <w:jc w:val="center"/>
              <w:rPr>
                <w:lang w:val="en-GB"/>
              </w:rPr>
            </w:pPr>
            <w:r w:rsidRPr="42DE0EC4">
              <w:rPr>
                <w:lang w:val="en-GB"/>
              </w:rPr>
              <w:t>45-48</w:t>
            </w:r>
          </w:p>
        </w:tc>
      </w:tr>
      <w:tr w:rsidR="00072C21" w14:paraId="0D9E4BB6" w14:textId="77777777" w:rsidTr="00C15A1C">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2ED9C" w14:textId="77777777" w:rsidR="00072C21" w:rsidRDefault="00072C21" w:rsidP="00C15A1C">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28111" w14:textId="77777777" w:rsidR="00072C21" w:rsidRDefault="00072C21" w:rsidP="00C15A1C">
            <w:pPr>
              <w:suppressLineNumbers/>
              <w:jc w:val="center"/>
              <w:rPr>
                <w:lang w:val="en-GB"/>
              </w:rPr>
            </w:pPr>
            <w:r w:rsidRPr="42DE0EC4">
              <w:rPr>
                <w:rFonts w:ascii="Calibri" w:hAnsi="Calibri" w:cs="Calibri"/>
                <w:b/>
                <w:bCs/>
                <w:sz w:val="22"/>
                <w:szCs w:val="22"/>
                <w:lang w:val="en-GB"/>
              </w:rPr>
              <w:t>Amended text</w:t>
            </w:r>
          </w:p>
        </w:tc>
      </w:tr>
      <w:tr w:rsidR="00072C21" w:rsidRPr="00AD45E5" w14:paraId="2EE137C5" w14:textId="77777777" w:rsidTr="00C15A1C">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B3320" w14:textId="77777777" w:rsidR="00072C21" w:rsidRPr="00B41C1C" w:rsidRDefault="00072C21" w:rsidP="00C15A1C">
            <w:pPr>
              <w:suppressLineNumbers/>
              <w:jc w:val="both"/>
              <w:rPr>
                <w:rFonts w:ascii="Calibri" w:eastAsia="Calibri" w:hAnsi="Calibri" w:cs="Calibri"/>
                <w:color w:val="000000" w:themeColor="text1"/>
                <w:lang w:val="en-GB"/>
              </w:rPr>
            </w:pPr>
            <w:r w:rsidRPr="42DE0EC4">
              <w:rPr>
                <w:rFonts w:ascii="Calibri" w:eastAsia="Calibri" w:hAnsi="Calibri" w:cs="Calibri"/>
                <w:color w:val="000000" w:themeColor="text1"/>
                <w:lang w:val="en-GB"/>
              </w:rPr>
              <w:t>“accelerate the migration of the European institutions internal digital tools to European, sovereign, open-source, and GDPR-compliant solutions, setting a binding timeline to avoid as soon as possible any vulnerability linked to foreign interference,”</w:t>
            </w:r>
          </w:p>
          <w:p w14:paraId="6A751A54" w14:textId="77777777" w:rsidR="00072C21" w:rsidRPr="00B41C1C" w:rsidRDefault="00072C21" w:rsidP="00C15A1C">
            <w:pPr>
              <w:pStyle w:val="NormaleWeb"/>
              <w:suppressLineNumbers/>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00233" w14:textId="77777777" w:rsidR="00072C21" w:rsidRPr="00B41C1C" w:rsidRDefault="00072C21" w:rsidP="00C15A1C">
            <w:pPr>
              <w:suppressLineNumbers/>
              <w:jc w:val="both"/>
              <w:rPr>
                <w:rFonts w:ascii="Calibri" w:eastAsia="Calibri" w:hAnsi="Calibri" w:cs="Calibri"/>
                <w:color w:val="000000" w:themeColor="text1"/>
                <w:lang w:val="en-GB"/>
              </w:rPr>
            </w:pPr>
            <w:r w:rsidRPr="42DE0EC4">
              <w:rPr>
                <w:rFonts w:ascii="Calibri" w:eastAsia="Calibri" w:hAnsi="Calibri" w:cs="Calibri"/>
                <w:color w:val="000000" w:themeColor="text1"/>
                <w:lang w:val="en-GB"/>
              </w:rPr>
              <w:t>“accelerate the migration of the European institutions internal digital tools to European, sovereign, open-source, and GDPR-compliant solutions, setting a binding timeline and providing targeted technical and financial support to Member States and public institutions with lower digital capacities, particularly in Eastern Europe, to ensure a cohesive and secure Union-wide transition and to avoid any vulnerability linked to foreign interference,”</w:t>
            </w:r>
          </w:p>
        </w:tc>
      </w:tr>
      <w:tr w:rsidR="00072C21" w:rsidRPr="00AD45E5" w14:paraId="13F414DB" w14:textId="77777777" w:rsidTr="00C15A1C">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540DC" w14:textId="77777777" w:rsidR="00072C21" w:rsidRDefault="00072C21" w:rsidP="00C15A1C">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5E58D" w14:textId="77777777" w:rsidR="00072C21" w:rsidRDefault="00072C21" w:rsidP="00C15A1C">
            <w:pPr>
              <w:pStyle w:val="NormaleWeb"/>
              <w:suppressLineNumbers/>
              <w:ind w:left="720"/>
              <w:rPr>
                <w:rFonts w:ascii="Gill Sans MT" w:hAnsi="Gill Sans MT"/>
                <w:sz w:val="22"/>
                <w:szCs w:val="22"/>
                <w:lang w:val="en-GB"/>
              </w:rPr>
            </w:pPr>
          </w:p>
          <w:p w14:paraId="77B443D0" w14:textId="77777777" w:rsidR="00072C21" w:rsidRDefault="00072C21" w:rsidP="00C15A1C">
            <w:pPr>
              <w:suppressLineNumbers/>
              <w:jc w:val="both"/>
              <w:rPr>
                <w:rFonts w:ascii="Calibri" w:eastAsia="Calibri" w:hAnsi="Calibri" w:cs="Calibri"/>
                <w:color w:val="000000" w:themeColor="text1"/>
                <w:lang w:val="en-GB"/>
              </w:rPr>
            </w:pPr>
            <w:r w:rsidRPr="42DE0EC4">
              <w:rPr>
                <w:rFonts w:ascii="Calibri" w:eastAsia="Calibri" w:hAnsi="Calibri" w:cs="Calibri"/>
                <w:color w:val="000000" w:themeColor="text1"/>
                <w:lang w:val="en-GB"/>
              </w:rPr>
              <w:t>This amendment emphasizes the need for equal access and concrete support for all Member States, especially those with limited resources, to achieve full participation in the European digital transition and sovereignty process</w:t>
            </w:r>
          </w:p>
          <w:p w14:paraId="599A6A7D" w14:textId="77777777" w:rsidR="00072C21" w:rsidRDefault="00072C21" w:rsidP="00C15A1C">
            <w:pPr>
              <w:pStyle w:val="NormaleWeb"/>
              <w:suppressLineNumbers/>
              <w:ind w:left="708"/>
              <w:rPr>
                <w:lang w:val="en-GB"/>
              </w:rPr>
            </w:pPr>
          </w:p>
        </w:tc>
      </w:tr>
    </w:tbl>
    <w:p w14:paraId="4D016E17" w14:textId="77777777" w:rsidR="00072C21" w:rsidRDefault="00072C2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E66A90" w14:paraId="16E589D9"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4A1F5" w14:textId="77777777" w:rsidR="00E66A90" w:rsidRDefault="00E66A90"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61FFB" w14:textId="77777777" w:rsidR="00E66A90" w:rsidRDefault="00E66A90"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E66A90" w14:paraId="14431B7E"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FD01" w14:textId="77777777" w:rsidR="00E66A90" w:rsidRDefault="00E66A90"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811E3" w14:textId="1F5E76DE" w:rsidR="00E66A90" w:rsidRDefault="00896584" w:rsidP="00045687">
            <w:pPr>
              <w:suppressLineNumbers/>
              <w:jc w:val="center"/>
              <w:rPr>
                <w:lang w:val="en-GB"/>
              </w:rPr>
            </w:pPr>
            <w:r>
              <w:rPr>
                <w:lang w:val="en-GB"/>
              </w:rPr>
              <w:t>39-40</w:t>
            </w:r>
          </w:p>
        </w:tc>
      </w:tr>
      <w:tr w:rsidR="00E66A90" w14:paraId="5DFF0FFF"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26512" w14:textId="77777777" w:rsidR="00E66A90" w:rsidRDefault="00E66A90"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C5B80" w14:textId="77777777" w:rsidR="00E66A90" w:rsidRDefault="00E66A90" w:rsidP="00045687">
            <w:pPr>
              <w:suppressLineNumbers/>
              <w:jc w:val="center"/>
              <w:rPr>
                <w:lang w:val="en-GB"/>
              </w:rPr>
            </w:pPr>
            <w:r w:rsidRPr="42DE0EC4">
              <w:rPr>
                <w:rFonts w:ascii="Calibri" w:hAnsi="Calibri" w:cs="Calibri"/>
                <w:b/>
                <w:bCs/>
                <w:sz w:val="22"/>
                <w:szCs w:val="22"/>
                <w:lang w:val="en-GB"/>
              </w:rPr>
              <w:t>Amended text</w:t>
            </w:r>
          </w:p>
        </w:tc>
      </w:tr>
      <w:tr w:rsidR="00E66A90" w:rsidRPr="00AD45E5" w14:paraId="03E2F46F"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82F4" w14:textId="77777777" w:rsidR="00E66A90" w:rsidRPr="00E66A90" w:rsidRDefault="00E66A90" w:rsidP="00045687">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E66A90">
              <w:rPr>
                <w:rFonts w:ascii="Gill Sans MT" w:hAnsi="Gill Sans MT"/>
                <w:sz w:val="22"/>
                <w:szCs w:val="22"/>
                <w:lang w:val="en-GB"/>
              </w:rPr>
              <w:t>activism from pro-European actors as</w:t>
            </w:r>
            <w:r>
              <w:rPr>
                <w:rFonts w:ascii="Gill Sans MT" w:hAnsi="Gill Sans MT"/>
                <w:sz w:val="22"/>
                <w:szCs w:val="22"/>
                <w:lang w:val="en-GB"/>
              </w:rPr>
              <w:t xml:space="preserve"> </w:t>
            </w:r>
            <w:r w:rsidRPr="00E66A90">
              <w:rPr>
                <w:rFonts w:ascii="Gill Sans MT" w:hAnsi="Gill Sans MT"/>
                <w:sz w:val="22"/>
                <w:szCs w:val="22"/>
                <w:lang w:val="en-GB"/>
              </w:rPr>
              <w:t>European digital alternatives already exist,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D91E5" w14:textId="77777777" w:rsidR="00E66A90" w:rsidRPr="00E66A90" w:rsidRDefault="00E66A90" w:rsidP="00045687">
            <w:pPr>
              <w:pStyle w:val="NormaleWeb"/>
              <w:numPr>
                <w:ilvl w:val="0"/>
                <w:numId w:val="18"/>
              </w:numPr>
              <w:suppressLineNumbers/>
              <w:rPr>
                <w:rFonts w:ascii="Gill Sans MT" w:hAnsi="Gill Sans MT"/>
                <w:sz w:val="22"/>
                <w:szCs w:val="22"/>
                <w:lang w:val="en-GB"/>
              </w:rPr>
            </w:pPr>
            <w:r w:rsidRPr="00E66A90">
              <w:rPr>
                <w:rFonts w:ascii="Gill Sans MT" w:hAnsi="Gill Sans MT"/>
                <w:sz w:val="22"/>
                <w:szCs w:val="22"/>
                <w:lang w:val="en-GB"/>
              </w:rPr>
              <w:t>activism from pro-European actors as</w:t>
            </w:r>
            <w:r>
              <w:rPr>
                <w:rFonts w:ascii="Gill Sans MT" w:hAnsi="Gill Sans MT"/>
                <w:sz w:val="22"/>
                <w:szCs w:val="22"/>
                <w:lang w:val="en-GB"/>
              </w:rPr>
              <w:t xml:space="preserve"> </w:t>
            </w:r>
            <w:r w:rsidRPr="00E66A90">
              <w:rPr>
                <w:rFonts w:ascii="Gill Sans MT" w:hAnsi="Gill Sans MT"/>
                <w:b/>
                <w:bCs/>
                <w:sz w:val="22"/>
                <w:szCs w:val="22"/>
                <w:lang w:val="en-GB"/>
              </w:rPr>
              <w:t>Europe-based</w:t>
            </w:r>
            <w:r w:rsidRPr="00E66A90">
              <w:rPr>
                <w:rFonts w:ascii="Gill Sans MT" w:hAnsi="Gill Sans MT"/>
                <w:sz w:val="22"/>
                <w:szCs w:val="22"/>
                <w:lang w:val="en-GB"/>
              </w:rPr>
              <w:t xml:space="preserve"> digital alternatives already exist,</w:t>
            </w:r>
          </w:p>
        </w:tc>
      </w:tr>
      <w:tr w:rsidR="00E66A90" w:rsidRPr="00AD45E5" w14:paraId="72F4709A"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7EB91" w14:textId="77777777" w:rsidR="00E66A90" w:rsidRDefault="00E66A90"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4D7B7" w14:textId="77777777" w:rsidR="00E66A90" w:rsidRDefault="00E66A90" w:rsidP="00045687">
            <w:pPr>
              <w:suppressLineNumbers/>
              <w:jc w:val="both"/>
              <w:rPr>
                <w:lang w:val="en-GB"/>
              </w:rPr>
            </w:pPr>
          </w:p>
        </w:tc>
      </w:tr>
    </w:tbl>
    <w:p w14:paraId="1863C260" w14:textId="77777777" w:rsidR="00E66A90" w:rsidRDefault="00E66A90"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E66A90" w14:paraId="44B91311"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A8EB9" w14:textId="77777777" w:rsidR="00E66A90" w:rsidRDefault="00E66A90"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21FC1" w14:textId="77777777" w:rsidR="00E66A90" w:rsidRDefault="00E66A90"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E66A90" w14:paraId="4B2353BD"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D58DB" w14:textId="77777777" w:rsidR="00E66A90" w:rsidRDefault="00E66A90"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68FB0" w14:textId="77777777" w:rsidR="00E66A90" w:rsidRDefault="00E66A90" w:rsidP="00045687">
            <w:pPr>
              <w:suppressLineNumbers/>
              <w:jc w:val="center"/>
              <w:rPr>
                <w:lang w:val="en-GB"/>
              </w:rPr>
            </w:pPr>
            <w:r>
              <w:rPr>
                <w:lang w:val="en-GB"/>
              </w:rPr>
              <w:t>48-49</w:t>
            </w:r>
          </w:p>
        </w:tc>
      </w:tr>
      <w:tr w:rsidR="00E66A90" w14:paraId="2626E6D1"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05CCB" w14:textId="77777777" w:rsidR="00E66A90" w:rsidRDefault="00E66A90"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49723" w14:textId="77777777" w:rsidR="00E66A90" w:rsidRDefault="00E66A90" w:rsidP="00045687">
            <w:pPr>
              <w:suppressLineNumbers/>
              <w:jc w:val="center"/>
              <w:rPr>
                <w:lang w:val="en-GB"/>
              </w:rPr>
            </w:pPr>
            <w:r w:rsidRPr="42DE0EC4">
              <w:rPr>
                <w:rFonts w:ascii="Calibri" w:hAnsi="Calibri" w:cs="Calibri"/>
                <w:b/>
                <w:bCs/>
                <w:sz w:val="22"/>
                <w:szCs w:val="22"/>
                <w:lang w:val="en-GB"/>
              </w:rPr>
              <w:t>Amended text</w:t>
            </w:r>
          </w:p>
        </w:tc>
      </w:tr>
      <w:tr w:rsidR="00E66A90" w:rsidRPr="00AD45E5" w14:paraId="3893AAE7"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B63E" w14:textId="211F16F1" w:rsidR="00E66A90" w:rsidRPr="00E66A90" w:rsidRDefault="00896584" w:rsidP="00045687">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E66A90">
              <w:rPr>
                <w:rFonts w:ascii="Gill Sans MT" w:hAnsi="Gill Sans MT"/>
                <w:sz w:val="22"/>
                <w:szCs w:val="22"/>
                <w:lang w:val="en-GB"/>
              </w:rPr>
              <w:t>strengthen the criteria for awarding public digital contracts in favor of</w:t>
            </w:r>
            <w:r>
              <w:rPr>
                <w:rFonts w:ascii="Gill Sans MT" w:hAnsi="Gill Sans MT"/>
                <w:sz w:val="22"/>
                <w:szCs w:val="22"/>
                <w:lang w:val="en-GB"/>
              </w:rPr>
              <w:t xml:space="preserve"> </w:t>
            </w:r>
            <w:r>
              <w:rPr>
                <w:rFonts w:ascii="Gill Sans MT" w:hAnsi="Gill Sans MT"/>
                <w:b/>
                <w:bCs/>
                <w:sz w:val="22"/>
                <w:szCs w:val="22"/>
                <w:lang w:val="en-GB"/>
              </w:rPr>
              <w:t>European</w:t>
            </w:r>
            <w:r w:rsidRPr="00E66A90">
              <w:rPr>
                <w:rFonts w:ascii="Gill Sans MT" w:hAnsi="Gill Sans MT"/>
                <w:sz w:val="22"/>
                <w:szCs w:val="22"/>
                <w:lang w:val="en-GB"/>
              </w:rPr>
              <w:t xml:space="preserve"> complying with European standards,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94BF4" w14:textId="47F9DAB1" w:rsidR="00E66A90" w:rsidRPr="00E66A90" w:rsidRDefault="00E66A90" w:rsidP="00E66A90">
            <w:pPr>
              <w:pStyle w:val="NormaleWeb"/>
              <w:numPr>
                <w:ilvl w:val="0"/>
                <w:numId w:val="18"/>
              </w:numPr>
              <w:suppressLineNumbers/>
              <w:rPr>
                <w:rFonts w:ascii="Gill Sans MT" w:hAnsi="Gill Sans MT"/>
                <w:sz w:val="22"/>
                <w:szCs w:val="22"/>
                <w:lang w:val="en-GB"/>
              </w:rPr>
            </w:pPr>
            <w:r w:rsidRPr="00E66A90">
              <w:rPr>
                <w:rFonts w:ascii="Gill Sans MT" w:hAnsi="Gill Sans MT"/>
                <w:sz w:val="22"/>
                <w:szCs w:val="22"/>
                <w:lang w:val="en-GB"/>
              </w:rPr>
              <w:t>strengthen the criteria for awarding public digital contracts in favor of</w:t>
            </w:r>
            <w:r>
              <w:rPr>
                <w:rFonts w:ascii="Gill Sans MT" w:hAnsi="Gill Sans MT"/>
                <w:sz w:val="22"/>
                <w:szCs w:val="22"/>
                <w:lang w:val="en-GB"/>
              </w:rPr>
              <w:t xml:space="preserve"> </w:t>
            </w:r>
            <w:r w:rsidRPr="00896584">
              <w:rPr>
                <w:rFonts w:ascii="Gill Sans MT" w:hAnsi="Gill Sans MT"/>
                <w:b/>
                <w:bCs/>
                <w:sz w:val="22"/>
                <w:szCs w:val="22"/>
                <w:lang w:val="en-GB"/>
              </w:rPr>
              <w:t>actors</w:t>
            </w:r>
            <w:r w:rsidRPr="00E66A90">
              <w:rPr>
                <w:rFonts w:ascii="Gill Sans MT" w:hAnsi="Gill Sans MT"/>
                <w:sz w:val="22"/>
                <w:szCs w:val="22"/>
                <w:lang w:val="en-GB"/>
              </w:rPr>
              <w:t xml:space="preserve"> complying with European standards,</w:t>
            </w:r>
          </w:p>
        </w:tc>
      </w:tr>
      <w:tr w:rsidR="00E66A90" w:rsidRPr="00AD45E5" w14:paraId="008296DC"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042E7" w14:textId="77777777" w:rsidR="00E66A90" w:rsidRDefault="00E66A90"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3495F" w14:textId="77777777" w:rsidR="00E66A90" w:rsidRDefault="00E66A90" w:rsidP="00045687">
            <w:pPr>
              <w:suppressLineNumbers/>
              <w:jc w:val="both"/>
              <w:rPr>
                <w:lang w:val="en-GB"/>
              </w:rPr>
            </w:pPr>
          </w:p>
        </w:tc>
      </w:tr>
    </w:tbl>
    <w:p w14:paraId="584A42A7" w14:textId="77777777" w:rsidR="00E66A90" w:rsidRDefault="00E66A90" w:rsidP="00AD45E5">
      <w:pPr>
        <w:suppressLineNumbers/>
        <w:rPr>
          <w:rFonts w:ascii="Calibri" w:hAnsi="Calibri" w:cs="Arial"/>
          <w:b/>
          <w:color w:val="FF0000"/>
          <w:sz w:val="22"/>
          <w:szCs w:val="22"/>
          <w:lang w:val="en-US"/>
        </w:rPr>
      </w:pPr>
    </w:p>
    <w:p w14:paraId="00330783" w14:textId="77777777" w:rsidR="00896584" w:rsidRDefault="00896584" w:rsidP="00AD45E5">
      <w:pPr>
        <w:suppressLineNumbers/>
        <w:rPr>
          <w:rFonts w:ascii="Calibri" w:hAnsi="Calibri" w:cs="Arial"/>
          <w:b/>
          <w:color w:val="FF0000"/>
          <w:sz w:val="22"/>
          <w:szCs w:val="22"/>
          <w:lang w:val="en-US"/>
        </w:rPr>
      </w:pPr>
    </w:p>
    <w:p w14:paraId="4FB8FD13" w14:textId="77777777" w:rsidR="00896584" w:rsidRDefault="00896584"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896584" w14:paraId="0E667B8C"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B320C" w14:textId="77777777" w:rsidR="00896584" w:rsidRDefault="00896584"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lastRenderedPageBreak/>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BE900" w14:textId="77777777" w:rsidR="00896584" w:rsidRDefault="00896584"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896584" w14:paraId="3F5CE4E1"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E5579" w14:textId="77777777" w:rsidR="00896584" w:rsidRDefault="00896584"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1AB7F" w14:textId="77777777" w:rsidR="00896584" w:rsidRDefault="00896584" w:rsidP="00045687">
            <w:pPr>
              <w:suppressLineNumbers/>
              <w:jc w:val="center"/>
              <w:rPr>
                <w:lang w:val="en-GB"/>
              </w:rPr>
            </w:pPr>
            <w:r>
              <w:rPr>
                <w:lang w:val="en-GB"/>
              </w:rPr>
              <w:t>48-49</w:t>
            </w:r>
          </w:p>
        </w:tc>
      </w:tr>
      <w:tr w:rsidR="00896584" w14:paraId="6D061471"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558FD" w14:textId="77777777" w:rsidR="00896584" w:rsidRDefault="00896584"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F3C62A" w14:textId="77777777" w:rsidR="00896584" w:rsidRDefault="00896584" w:rsidP="00045687">
            <w:pPr>
              <w:suppressLineNumbers/>
              <w:jc w:val="center"/>
              <w:rPr>
                <w:lang w:val="en-GB"/>
              </w:rPr>
            </w:pPr>
            <w:r w:rsidRPr="42DE0EC4">
              <w:rPr>
                <w:rFonts w:ascii="Calibri" w:hAnsi="Calibri" w:cs="Calibri"/>
                <w:b/>
                <w:bCs/>
                <w:sz w:val="22"/>
                <w:szCs w:val="22"/>
                <w:lang w:val="en-GB"/>
              </w:rPr>
              <w:t>Amended text</w:t>
            </w:r>
          </w:p>
        </w:tc>
      </w:tr>
      <w:tr w:rsidR="00896584" w:rsidRPr="00AD45E5" w14:paraId="5B2FC6BD"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B356E" w14:textId="0D9FC3D7" w:rsidR="00896584" w:rsidRPr="00896584" w:rsidRDefault="00896584" w:rsidP="00896584">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896584">
              <w:rPr>
                <w:rFonts w:ascii="Gill Sans MT" w:hAnsi="Gill Sans MT"/>
                <w:sz w:val="22"/>
                <w:szCs w:val="22"/>
                <w:lang w:val="en-GB"/>
              </w:rPr>
              <w:t>require European digital service providers (ISPs, transport operators, etc.) to</w:t>
            </w:r>
            <w:r>
              <w:rPr>
                <w:rFonts w:ascii="Gill Sans MT" w:hAnsi="Gill Sans MT"/>
                <w:sz w:val="22"/>
                <w:szCs w:val="22"/>
                <w:lang w:val="en-GB"/>
              </w:rPr>
              <w:t xml:space="preserve"> </w:t>
            </w:r>
            <w:r w:rsidRPr="00896584">
              <w:rPr>
                <w:rFonts w:ascii="Gill Sans MT" w:hAnsi="Gill Sans MT"/>
                <w:sz w:val="22"/>
                <w:szCs w:val="22"/>
                <w:lang w:val="en-GB"/>
              </w:rPr>
              <w:t xml:space="preserve">systematically offer </w:t>
            </w:r>
            <w:r w:rsidRPr="00896584">
              <w:rPr>
                <w:rFonts w:ascii="Gill Sans MT" w:hAnsi="Gill Sans MT"/>
                <w:b/>
                <w:bCs/>
                <w:sz w:val="22"/>
                <w:szCs w:val="22"/>
                <w:lang w:val="en-GB"/>
              </w:rPr>
              <w:t>European</w:t>
            </w:r>
            <w:r>
              <w:rPr>
                <w:rFonts w:ascii="Gill Sans MT" w:hAnsi="Gill Sans MT"/>
                <w:sz w:val="22"/>
                <w:szCs w:val="22"/>
                <w:lang w:val="en-GB"/>
              </w:rPr>
              <w:t xml:space="preserve"> </w:t>
            </w:r>
            <w:r w:rsidRPr="00896584">
              <w:rPr>
                <w:rFonts w:ascii="Gill Sans MT" w:hAnsi="Gill Sans MT"/>
                <w:sz w:val="22"/>
                <w:szCs w:val="22"/>
                <w:lang w:val="en-GB"/>
              </w:rPr>
              <w:t>alternatives when partnering with third-party platforms (e.g.,</w:t>
            </w:r>
            <w:r>
              <w:rPr>
                <w:rFonts w:ascii="Gill Sans MT" w:hAnsi="Gill Sans MT"/>
                <w:sz w:val="22"/>
                <w:szCs w:val="22"/>
                <w:lang w:val="en-GB"/>
              </w:rPr>
              <w:t xml:space="preserve"> </w:t>
            </w:r>
            <w:r w:rsidRPr="00896584">
              <w:rPr>
                <w:rFonts w:ascii="Gill Sans MT" w:hAnsi="Gill Sans MT"/>
                <w:sz w:val="22"/>
                <w:szCs w:val="22"/>
                <w:lang w:val="en-GB"/>
              </w:rPr>
              <w:t>marketplaces, ride-hailing services, etc.), to guarantee user freedom of</w:t>
            </w:r>
            <w:r>
              <w:rPr>
                <w:rFonts w:ascii="Gill Sans MT" w:hAnsi="Gill Sans MT"/>
                <w:sz w:val="22"/>
                <w:szCs w:val="22"/>
                <w:lang w:val="en-GB"/>
              </w:rPr>
              <w:t xml:space="preserve"> </w:t>
            </w:r>
            <w:r w:rsidRPr="00896584">
              <w:rPr>
                <w:rFonts w:ascii="Gill Sans MT" w:hAnsi="Gill Sans MT"/>
                <w:sz w:val="22"/>
                <w:szCs w:val="22"/>
                <w:lang w:val="en-GB"/>
              </w:rPr>
              <w:t xml:space="preserve">choice, boost the European digital sector and reduce dependence on </w:t>
            </w:r>
            <w:r>
              <w:rPr>
                <w:rFonts w:ascii="Gill Sans MT" w:hAnsi="Gill Sans MT"/>
                <w:b/>
                <w:bCs/>
                <w:sz w:val="22"/>
                <w:szCs w:val="22"/>
                <w:lang w:val="en-GB"/>
              </w:rPr>
              <w:t>European</w:t>
            </w:r>
            <w:r w:rsidRPr="00896584">
              <w:rPr>
                <w:rFonts w:ascii="Gill Sans MT" w:hAnsi="Gill Sans MT"/>
                <w:sz w:val="22"/>
                <w:szCs w:val="22"/>
                <w:lang w:val="en-GB"/>
              </w:rPr>
              <w:t xml:space="preserve"> actors,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7288" w14:textId="1B2D4242" w:rsidR="00896584" w:rsidRPr="00E66A90" w:rsidRDefault="00896584" w:rsidP="00896584">
            <w:pPr>
              <w:pStyle w:val="NormaleWeb"/>
              <w:numPr>
                <w:ilvl w:val="0"/>
                <w:numId w:val="18"/>
              </w:numPr>
              <w:suppressLineNumbers/>
              <w:spacing w:line="276" w:lineRule="auto"/>
              <w:rPr>
                <w:rFonts w:ascii="Gill Sans MT" w:hAnsi="Gill Sans MT"/>
                <w:sz w:val="22"/>
                <w:szCs w:val="22"/>
                <w:lang w:val="en-GB"/>
              </w:rPr>
            </w:pPr>
            <w:r w:rsidRPr="00896584">
              <w:rPr>
                <w:rFonts w:ascii="Gill Sans MT" w:hAnsi="Gill Sans MT"/>
                <w:sz w:val="22"/>
                <w:szCs w:val="22"/>
                <w:lang w:val="en-GB"/>
              </w:rPr>
              <w:t>require European digital service providers (ISPs, transport operators, etc.) to</w:t>
            </w:r>
            <w:r>
              <w:rPr>
                <w:rFonts w:ascii="Gill Sans MT" w:hAnsi="Gill Sans MT"/>
                <w:sz w:val="22"/>
                <w:szCs w:val="22"/>
                <w:lang w:val="en-GB"/>
              </w:rPr>
              <w:t xml:space="preserve"> </w:t>
            </w:r>
            <w:r w:rsidRPr="00896584">
              <w:rPr>
                <w:rFonts w:ascii="Gill Sans MT" w:hAnsi="Gill Sans MT"/>
                <w:sz w:val="22"/>
                <w:szCs w:val="22"/>
                <w:lang w:val="en-GB"/>
              </w:rPr>
              <w:t xml:space="preserve">systematically offer alternatives </w:t>
            </w:r>
            <w:r w:rsidRPr="00896584">
              <w:rPr>
                <w:rFonts w:ascii="Gill Sans MT" w:hAnsi="Gill Sans MT"/>
                <w:b/>
                <w:bCs/>
                <w:sz w:val="22"/>
                <w:szCs w:val="22"/>
                <w:lang w:val="en-GB"/>
              </w:rPr>
              <w:t>to foreign non-compliant entities (such as GAFAM)</w:t>
            </w:r>
            <w:r w:rsidRPr="00896584">
              <w:rPr>
                <w:rFonts w:ascii="Gill Sans MT" w:hAnsi="Gill Sans MT"/>
                <w:sz w:val="22"/>
                <w:szCs w:val="22"/>
                <w:lang w:val="en-GB"/>
              </w:rPr>
              <w:t xml:space="preserve"> when partnering with third-party platforms (e.g.,</w:t>
            </w:r>
            <w:r>
              <w:rPr>
                <w:rFonts w:ascii="Gill Sans MT" w:hAnsi="Gill Sans MT"/>
                <w:sz w:val="22"/>
                <w:szCs w:val="22"/>
                <w:lang w:val="en-GB"/>
              </w:rPr>
              <w:t xml:space="preserve"> </w:t>
            </w:r>
            <w:r w:rsidRPr="00896584">
              <w:rPr>
                <w:rFonts w:ascii="Gill Sans MT" w:hAnsi="Gill Sans MT"/>
                <w:sz w:val="22"/>
                <w:szCs w:val="22"/>
                <w:lang w:val="en-GB"/>
              </w:rPr>
              <w:t>marketplaces, ride-hailing services, etc.), to guarantee user freedom of</w:t>
            </w:r>
            <w:r>
              <w:rPr>
                <w:rFonts w:ascii="Gill Sans MT" w:hAnsi="Gill Sans MT"/>
                <w:sz w:val="22"/>
                <w:szCs w:val="22"/>
                <w:lang w:val="en-GB"/>
              </w:rPr>
              <w:t xml:space="preserve"> </w:t>
            </w:r>
            <w:r w:rsidRPr="00896584">
              <w:rPr>
                <w:rFonts w:ascii="Gill Sans MT" w:hAnsi="Gill Sans MT"/>
                <w:sz w:val="22"/>
                <w:szCs w:val="22"/>
                <w:lang w:val="en-GB"/>
              </w:rPr>
              <w:t xml:space="preserve">choice, boost the European digital sector and reduce dependence on </w:t>
            </w:r>
            <w:r w:rsidRPr="00896584">
              <w:rPr>
                <w:rFonts w:ascii="Gill Sans MT" w:hAnsi="Gill Sans MT"/>
                <w:b/>
                <w:bCs/>
                <w:sz w:val="22"/>
                <w:szCs w:val="22"/>
                <w:lang w:val="en-GB"/>
              </w:rPr>
              <w:t>foreign non-compliant</w:t>
            </w:r>
            <w:r w:rsidRPr="00896584">
              <w:rPr>
                <w:rFonts w:ascii="Gill Sans MT" w:hAnsi="Gill Sans MT"/>
                <w:sz w:val="22"/>
                <w:szCs w:val="22"/>
                <w:lang w:val="en-GB"/>
              </w:rPr>
              <w:t xml:space="preserve"> actors,</w:t>
            </w:r>
          </w:p>
        </w:tc>
      </w:tr>
      <w:tr w:rsidR="00896584" w:rsidRPr="00AD45E5" w14:paraId="4061B878"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819C0" w14:textId="77777777" w:rsidR="00896584" w:rsidRDefault="00896584"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0B377" w14:textId="77777777" w:rsidR="00896584" w:rsidRDefault="00896584" w:rsidP="00045687">
            <w:pPr>
              <w:suppressLineNumbers/>
              <w:jc w:val="both"/>
              <w:rPr>
                <w:lang w:val="en-GB"/>
              </w:rPr>
            </w:pPr>
          </w:p>
        </w:tc>
      </w:tr>
    </w:tbl>
    <w:p w14:paraId="566B4677" w14:textId="77777777" w:rsidR="00896584" w:rsidRDefault="00896584"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896584" w14:paraId="21FD2AAD"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DF1B3" w14:textId="77777777" w:rsidR="00896584" w:rsidRDefault="00896584"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E3A3D" w14:textId="77777777" w:rsidR="00896584" w:rsidRDefault="00896584"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896584" w14:paraId="7ABE13C8"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AF3A3" w14:textId="77777777" w:rsidR="00896584" w:rsidRDefault="00896584"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15DF4" w14:textId="2DDAC5AB" w:rsidR="00896584" w:rsidRDefault="00896584" w:rsidP="00045687">
            <w:pPr>
              <w:suppressLineNumbers/>
              <w:jc w:val="center"/>
              <w:rPr>
                <w:lang w:val="en-GB"/>
              </w:rPr>
            </w:pPr>
            <w:r>
              <w:rPr>
                <w:lang w:val="en-GB"/>
              </w:rPr>
              <w:t>50-53</w:t>
            </w:r>
          </w:p>
        </w:tc>
      </w:tr>
      <w:tr w:rsidR="00896584" w14:paraId="1367AF1B"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9DE0F" w14:textId="77777777" w:rsidR="00896584" w:rsidRDefault="00896584"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8CFC6" w14:textId="77777777" w:rsidR="00896584" w:rsidRDefault="00896584" w:rsidP="00045687">
            <w:pPr>
              <w:suppressLineNumbers/>
              <w:jc w:val="center"/>
              <w:rPr>
                <w:lang w:val="en-GB"/>
              </w:rPr>
            </w:pPr>
            <w:r w:rsidRPr="42DE0EC4">
              <w:rPr>
                <w:rFonts w:ascii="Calibri" w:hAnsi="Calibri" w:cs="Calibri"/>
                <w:b/>
                <w:bCs/>
                <w:sz w:val="22"/>
                <w:szCs w:val="22"/>
                <w:lang w:val="en-GB"/>
              </w:rPr>
              <w:t>Amended text</w:t>
            </w:r>
          </w:p>
        </w:tc>
      </w:tr>
      <w:tr w:rsidR="00896584" w:rsidRPr="00AD45E5" w14:paraId="1C78554B"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55FED" w14:textId="77777777" w:rsidR="00896584" w:rsidRPr="00896584" w:rsidRDefault="00896584" w:rsidP="00045687">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896584">
              <w:rPr>
                <w:rFonts w:ascii="Gill Sans MT" w:hAnsi="Gill Sans MT"/>
                <w:sz w:val="22"/>
                <w:szCs w:val="22"/>
                <w:lang w:val="en-GB"/>
              </w:rPr>
              <w:t>require European digital service providers (ISPs, transport operators, etc.) to</w:t>
            </w:r>
            <w:r>
              <w:rPr>
                <w:rFonts w:ascii="Gill Sans MT" w:hAnsi="Gill Sans MT"/>
                <w:sz w:val="22"/>
                <w:szCs w:val="22"/>
                <w:lang w:val="en-GB"/>
              </w:rPr>
              <w:t xml:space="preserve"> </w:t>
            </w:r>
            <w:r w:rsidRPr="00896584">
              <w:rPr>
                <w:rFonts w:ascii="Gill Sans MT" w:hAnsi="Gill Sans MT"/>
                <w:sz w:val="22"/>
                <w:szCs w:val="22"/>
                <w:lang w:val="en-GB"/>
              </w:rPr>
              <w:t xml:space="preserve">systematically offer </w:t>
            </w:r>
            <w:r w:rsidRPr="00896584">
              <w:rPr>
                <w:rFonts w:ascii="Gill Sans MT" w:hAnsi="Gill Sans MT"/>
                <w:b/>
                <w:bCs/>
                <w:sz w:val="22"/>
                <w:szCs w:val="22"/>
                <w:lang w:val="en-GB"/>
              </w:rPr>
              <w:t>European</w:t>
            </w:r>
            <w:r>
              <w:rPr>
                <w:rFonts w:ascii="Gill Sans MT" w:hAnsi="Gill Sans MT"/>
                <w:sz w:val="22"/>
                <w:szCs w:val="22"/>
                <w:lang w:val="en-GB"/>
              </w:rPr>
              <w:t xml:space="preserve"> </w:t>
            </w:r>
            <w:r w:rsidRPr="00896584">
              <w:rPr>
                <w:rFonts w:ascii="Gill Sans MT" w:hAnsi="Gill Sans MT"/>
                <w:sz w:val="22"/>
                <w:szCs w:val="22"/>
                <w:lang w:val="en-GB"/>
              </w:rPr>
              <w:t>alternatives when partnering with third-party platforms (e.g.,</w:t>
            </w:r>
            <w:r>
              <w:rPr>
                <w:rFonts w:ascii="Gill Sans MT" w:hAnsi="Gill Sans MT"/>
                <w:sz w:val="22"/>
                <w:szCs w:val="22"/>
                <w:lang w:val="en-GB"/>
              </w:rPr>
              <w:t xml:space="preserve"> </w:t>
            </w:r>
            <w:r w:rsidRPr="00896584">
              <w:rPr>
                <w:rFonts w:ascii="Gill Sans MT" w:hAnsi="Gill Sans MT"/>
                <w:sz w:val="22"/>
                <w:szCs w:val="22"/>
                <w:lang w:val="en-GB"/>
              </w:rPr>
              <w:t>marketplaces, ride-hailing services, etc.), to guarantee user freedom of</w:t>
            </w:r>
            <w:r>
              <w:rPr>
                <w:rFonts w:ascii="Gill Sans MT" w:hAnsi="Gill Sans MT"/>
                <w:sz w:val="22"/>
                <w:szCs w:val="22"/>
                <w:lang w:val="en-GB"/>
              </w:rPr>
              <w:t xml:space="preserve"> </w:t>
            </w:r>
            <w:r w:rsidRPr="00896584">
              <w:rPr>
                <w:rFonts w:ascii="Gill Sans MT" w:hAnsi="Gill Sans MT"/>
                <w:sz w:val="22"/>
                <w:szCs w:val="22"/>
                <w:lang w:val="en-GB"/>
              </w:rPr>
              <w:t xml:space="preserve">choice, boost the European digital sector and reduce dependence on </w:t>
            </w:r>
            <w:r>
              <w:rPr>
                <w:rFonts w:ascii="Gill Sans MT" w:hAnsi="Gill Sans MT"/>
                <w:b/>
                <w:bCs/>
                <w:sz w:val="22"/>
                <w:szCs w:val="22"/>
                <w:lang w:val="en-GB"/>
              </w:rPr>
              <w:t>European</w:t>
            </w:r>
            <w:r w:rsidRPr="00896584">
              <w:rPr>
                <w:rFonts w:ascii="Gill Sans MT" w:hAnsi="Gill Sans MT"/>
                <w:sz w:val="22"/>
                <w:szCs w:val="22"/>
                <w:lang w:val="en-GB"/>
              </w:rPr>
              <w:t xml:space="preserve"> actors,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B4A7" w14:textId="77777777" w:rsidR="00896584" w:rsidRPr="00E66A90" w:rsidRDefault="00896584" w:rsidP="00045687">
            <w:pPr>
              <w:pStyle w:val="NormaleWeb"/>
              <w:numPr>
                <w:ilvl w:val="0"/>
                <w:numId w:val="18"/>
              </w:numPr>
              <w:suppressLineNumbers/>
              <w:spacing w:line="276" w:lineRule="auto"/>
              <w:rPr>
                <w:rFonts w:ascii="Gill Sans MT" w:hAnsi="Gill Sans MT"/>
                <w:sz w:val="22"/>
                <w:szCs w:val="22"/>
                <w:lang w:val="en-GB"/>
              </w:rPr>
            </w:pPr>
            <w:r w:rsidRPr="00896584">
              <w:rPr>
                <w:rFonts w:ascii="Gill Sans MT" w:hAnsi="Gill Sans MT"/>
                <w:sz w:val="22"/>
                <w:szCs w:val="22"/>
                <w:lang w:val="en-GB"/>
              </w:rPr>
              <w:t>require European digital service providers (ISPs, transport operators, etc.) to</w:t>
            </w:r>
            <w:r>
              <w:rPr>
                <w:rFonts w:ascii="Gill Sans MT" w:hAnsi="Gill Sans MT"/>
                <w:sz w:val="22"/>
                <w:szCs w:val="22"/>
                <w:lang w:val="en-GB"/>
              </w:rPr>
              <w:t xml:space="preserve"> </w:t>
            </w:r>
            <w:r w:rsidRPr="00896584">
              <w:rPr>
                <w:rFonts w:ascii="Gill Sans MT" w:hAnsi="Gill Sans MT"/>
                <w:sz w:val="22"/>
                <w:szCs w:val="22"/>
                <w:lang w:val="en-GB"/>
              </w:rPr>
              <w:t xml:space="preserve">systematically offer alternatives </w:t>
            </w:r>
            <w:r w:rsidRPr="00896584">
              <w:rPr>
                <w:rFonts w:ascii="Gill Sans MT" w:hAnsi="Gill Sans MT"/>
                <w:b/>
                <w:bCs/>
                <w:sz w:val="22"/>
                <w:szCs w:val="22"/>
                <w:lang w:val="en-GB"/>
              </w:rPr>
              <w:t>to foreign non-compliant entities (such as GAFAM)</w:t>
            </w:r>
            <w:r w:rsidRPr="00896584">
              <w:rPr>
                <w:rFonts w:ascii="Gill Sans MT" w:hAnsi="Gill Sans MT"/>
                <w:sz w:val="22"/>
                <w:szCs w:val="22"/>
                <w:lang w:val="en-GB"/>
              </w:rPr>
              <w:t xml:space="preserve"> when partnering with third-party platforms (e.g.,</w:t>
            </w:r>
            <w:r>
              <w:rPr>
                <w:rFonts w:ascii="Gill Sans MT" w:hAnsi="Gill Sans MT"/>
                <w:sz w:val="22"/>
                <w:szCs w:val="22"/>
                <w:lang w:val="en-GB"/>
              </w:rPr>
              <w:t xml:space="preserve"> </w:t>
            </w:r>
            <w:r w:rsidRPr="00896584">
              <w:rPr>
                <w:rFonts w:ascii="Gill Sans MT" w:hAnsi="Gill Sans MT"/>
                <w:sz w:val="22"/>
                <w:szCs w:val="22"/>
                <w:lang w:val="en-GB"/>
              </w:rPr>
              <w:t>marketplaces, ride-hailing services, etc.), to guarantee user freedom of</w:t>
            </w:r>
            <w:r>
              <w:rPr>
                <w:rFonts w:ascii="Gill Sans MT" w:hAnsi="Gill Sans MT"/>
                <w:sz w:val="22"/>
                <w:szCs w:val="22"/>
                <w:lang w:val="en-GB"/>
              </w:rPr>
              <w:t xml:space="preserve"> </w:t>
            </w:r>
            <w:r w:rsidRPr="00896584">
              <w:rPr>
                <w:rFonts w:ascii="Gill Sans MT" w:hAnsi="Gill Sans MT"/>
                <w:sz w:val="22"/>
                <w:szCs w:val="22"/>
                <w:lang w:val="en-GB"/>
              </w:rPr>
              <w:t xml:space="preserve">choice, boost the European digital sector and reduce dependence on </w:t>
            </w:r>
            <w:r w:rsidRPr="00896584">
              <w:rPr>
                <w:rFonts w:ascii="Gill Sans MT" w:hAnsi="Gill Sans MT"/>
                <w:b/>
                <w:bCs/>
                <w:sz w:val="22"/>
                <w:szCs w:val="22"/>
                <w:lang w:val="en-GB"/>
              </w:rPr>
              <w:t>foreign non-compliant</w:t>
            </w:r>
            <w:r w:rsidRPr="00896584">
              <w:rPr>
                <w:rFonts w:ascii="Gill Sans MT" w:hAnsi="Gill Sans MT"/>
                <w:sz w:val="22"/>
                <w:szCs w:val="22"/>
                <w:lang w:val="en-GB"/>
              </w:rPr>
              <w:t xml:space="preserve"> actors,</w:t>
            </w:r>
          </w:p>
        </w:tc>
      </w:tr>
      <w:tr w:rsidR="00896584" w:rsidRPr="00AD45E5" w14:paraId="4BF84F8F"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CE3EE" w14:textId="77777777" w:rsidR="00896584" w:rsidRDefault="00896584"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0F874" w14:textId="77777777" w:rsidR="00896584" w:rsidRDefault="00896584" w:rsidP="00045687">
            <w:pPr>
              <w:suppressLineNumbers/>
              <w:jc w:val="both"/>
              <w:rPr>
                <w:lang w:val="en-GB"/>
              </w:rPr>
            </w:pPr>
          </w:p>
        </w:tc>
      </w:tr>
    </w:tbl>
    <w:p w14:paraId="30DE0BF8" w14:textId="77777777" w:rsidR="00896584" w:rsidRDefault="00896584" w:rsidP="00AD45E5">
      <w:pPr>
        <w:suppressLineNumbers/>
        <w:rPr>
          <w:rFonts w:ascii="Calibri" w:hAnsi="Calibri" w:cs="Arial"/>
          <w:b/>
          <w:color w:val="FF0000"/>
          <w:sz w:val="22"/>
          <w:szCs w:val="22"/>
          <w:lang w:val="en-US"/>
        </w:rPr>
      </w:pPr>
    </w:p>
    <w:p w14:paraId="7DAE366A" w14:textId="77777777" w:rsidR="00E66A90" w:rsidRDefault="00E66A90"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072C21" w14:paraId="1383430A" w14:textId="77777777" w:rsidTr="00C15A1C">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9A6E5" w14:textId="77777777" w:rsidR="00072C21" w:rsidRDefault="00072C21" w:rsidP="00C15A1C">
            <w:pPr>
              <w:suppressLineNumbers/>
              <w:jc w:val="right"/>
              <w:rPr>
                <w:rFonts w:ascii="Calibri" w:hAnsi="Calibri" w:cs="Calibri"/>
                <w:b/>
                <w:bCs/>
                <w:sz w:val="22"/>
                <w:szCs w:val="22"/>
                <w:lang w:val="en-GB"/>
              </w:rPr>
            </w:pPr>
            <w:r w:rsidRPr="3145F70C">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44E78" w14:textId="187D44ED" w:rsidR="00072C21" w:rsidRDefault="00072C21" w:rsidP="00C15A1C">
            <w:pPr>
              <w:suppressLineNumbers/>
              <w:jc w:val="center"/>
              <w:rPr>
                <w:rFonts w:ascii="Calibri" w:hAnsi="Calibri" w:cs="Calibri"/>
                <w:sz w:val="22"/>
                <w:szCs w:val="22"/>
                <w:lang w:val="en-GB"/>
              </w:rPr>
            </w:pPr>
            <w:r w:rsidRPr="3145F70C">
              <w:rPr>
                <w:rFonts w:ascii="Calibri" w:hAnsi="Calibri" w:cs="Calibri"/>
                <w:sz w:val="22"/>
                <w:szCs w:val="22"/>
                <w:lang w:val="en-GB"/>
              </w:rPr>
              <w:t>UEF Romania Section</w:t>
            </w:r>
          </w:p>
        </w:tc>
      </w:tr>
      <w:tr w:rsidR="00072C21" w14:paraId="1D9C506C" w14:textId="77777777" w:rsidTr="00C15A1C">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F8A69" w14:textId="77777777" w:rsidR="00072C21" w:rsidRDefault="00072C21" w:rsidP="00C15A1C">
            <w:pPr>
              <w:suppressLineNumbers/>
              <w:jc w:val="right"/>
              <w:rPr>
                <w:lang w:val="en-GB"/>
              </w:rPr>
            </w:pPr>
            <w:r w:rsidRPr="3145F70C">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DA554" w14:textId="77777777" w:rsidR="00072C21" w:rsidRDefault="00072C21" w:rsidP="00C15A1C">
            <w:pPr>
              <w:suppressLineNumbers/>
              <w:jc w:val="center"/>
              <w:rPr>
                <w:lang w:val="en-GB"/>
              </w:rPr>
            </w:pPr>
            <w:r w:rsidRPr="3145F70C">
              <w:rPr>
                <w:lang w:val="en-GB"/>
              </w:rPr>
              <w:t>57-58</w:t>
            </w:r>
          </w:p>
        </w:tc>
      </w:tr>
      <w:tr w:rsidR="00072C21" w14:paraId="2EEC6C8E" w14:textId="77777777" w:rsidTr="00C15A1C">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60EF6" w14:textId="77777777" w:rsidR="00072C21" w:rsidRDefault="00072C21" w:rsidP="00C15A1C">
            <w:pPr>
              <w:suppressLineNumbers/>
              <w:jc w:val="center"/>
              <w:rPr>
                <w:lang w:val="en-GB"/>
              </w:rPr>
            </w:pPr>
            <w:r w:rsidRPr="3145F70C">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8B109" w14:textId="77777777" w:rsidR="00072C21" w:rsidRDefault="00072C21" w:rsidP="00C15A1C">
            <w:pPr>
              <w:suppressLineNumbers/>
              <w:jc w:val="center"/>
              <w:rPr>
                <w:lang w:val="en-GB"/>
              </w:rPr>
            </w:pPr>
            <w:r w:rsidRPr="3145F70C">
              <w:rPr>
                <w:rFonts w:ascii="Calibri" w:hAnsi="Calibri" w:cs="Calibri"/>
                <w:b/>
                <w:bCs/>
                <w:sz w:val="22"/>
                <w:szCs w:val="22"/>
                <w:lang w:val="en-GB"/>
              </w:rPr>
              <w:t>Amended text</w:t>
            </w:r>
          </w:p>
        </w:tc>
      </w:tr>
      <w:tr w:rsidR="00072C21" w:rsidRPr="00AD45E5" w14:paraId="39ACCC8F" w14:textId="77777777" w:rsidTr="00C15A1C">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D4599" w14:textId="77777777" w:rsidR="00072C21" w:rsidRPr="00B41C1C" w:rsidRDefault="00072C21" w:rsidP="00C15A1C">
            <w:pPr>
              <w:suppressLineNumbers/>
              <w:jc w:val="both"/>
              <w:rPr>
                <w:rFonts w:ascii="Calibri" w:eastAsia="Calibri" w:hAnsi="Calibri" w:cs="Calibri"/>
                <w:color w:val="000000" w:themeColor="text1"/>
                <w:lang w:val="en-GB"/>
              </w:rPr>
            </w:pPr>
            <w:r w:rsidRPr="3145F70C">
              <w:rPr>
                <w:rFonts w:ascii="Calibri" w:eastAsia="Calibri" w:hAnsi="Calibri" w:cs="Calibri"/>
                <w:color w:val="000000" w:themeColor="text1"/>
                <w:lang w:val="en-GB"/>
              </w:rPr>
              <w:t xml:space="preserve"> “strengthen the criteria for awarding public digital contracts in favor of European actors complying with European standards,”</w:t>
            </w:r>
          </w:p>
          <w:p w14:paraId="7B33D964" w14:textId="77777777" w:rsidR="00072C21" w:rsidRPr="00B41C1C" w:rsidRDefault="00072C21" w:rsidP="00C15A1C">
            <w:pPr>
              <w:suppressLineNumbers/>
              <w:jc w:val="both"/>
              <w:rPr>
                <w:rFonts w:ascii="Calibri" w:eastAsia="Calibri" w:hAnsi="Calibri" w:cs="Calibri"/>
                <w:color w:val="000000" w:themeColor="text1"/>
                <w:lang w:val="en-GB"/>
              </w:rPr>
            </w:pPr>
          </w:p>
          <w:p w14:paraId="0F27D73A" w14:textId="77777777" w:rsidR="00072C21" w:rsidRPr="00B41C1C" w:rsidRDefault="00072C21" w:rsidP="00C15A1C">
            <w:pPr>
              <w:pStyle w:val="NormaleWeb"/>
              <w:suppressLineNumbers/>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89654" w14:textId="77777777" w:rsidR="00072C21" w:rsidRPr="00B41C1C" w:rsidRDefault="00072C21" w:rsidP="00C15A1C">
            <w:pPr>
              <w:suppressLineNumbers/>
              <w:jc w:val="both"/>
              <w:rPr>
                <w:rFonts w:ascii="Calibri" w:eastAsia="Calibri" w:hAnsi="Calibri" w:cs="Calibri"/>
                <w:color w:val="000000" w:themeColor="text1"/>
                <w:lang w:val="en-GB"/>
              </w:rPr>
            </w:pPr>
            <w:r w:rsidRPr="3145F70C">
              <w:rPr>
                <w:rFonts w:ascii="Calibri" w:eastAsia="Calibri" w:hAnsi="Calibri" w:cs="Calibri"/>
                <w:color w:val="000000" w:themeColor="text1"/>
                <w:lang w:val="en-GB"/>
              </w:rPr>
              <w:t xml:space="preserve">“strengthen the criteria for awarding public digital contracts in favor of European actors complying with European standards, while ensuring fair and equal access for innovators, startups, and SMEs from all Member States, taking into account the need to support those operating in regions with lower digital capacity </w:t>
            </w:r>
            <w:r w:rsidRPr="3145F70C">
              <w:rPr>
                <w:rFonts w:ascii="Calibri" w:eastAsia="Calibri" w:hAnsi="Calibri" w:cs="Calibri"/>
                <w:color w:val="000000" w:themeColor="text1"/>
                <w:lang w:val="en-GB"/>
              </w:rPr>
              <w:lastRenderedPageBreak/>
              <w:t>to achieve balanced participation across the Union,”</w:t>
            </w:r>
          </w:p>
          <w:p w14:paraId="5B2BC837" w14:textId="77777777" w:rsidR="00072C21" w:rsidRPr="00B41C1C" w:rsidRDefault="00072C21" w:rsidP="00C15A1C">
            <w:pPr>
              <w:suppressLineNumbers/>
              <w:jc w:val="both"/>
              <w:rPr>
                <w:rFonts w:ascii="Calibri" w:eastAsia="Calibri" w:hAnsi="Calibri" w:cs="Calibri"/>
                <w:color w:val="000000" w:themeColor="text1"/>
                <w:lang w:val="en-GB"/>
              </w:rPr>
            </w:pPr>
          </w:p>
        </w:tc>
      </w:tr>
      <w:tr w:rsidR="00072C21" w:rsidRPr="00AD45E5" w14:paraId="65CC3083" w14:textId="77777777" w:rsidTr="00C15A1C">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056FA" w14:textId="77777777" w:rsidR="00072C21" w:rsidRDefault="00072C21" w:rsidP="00C15A1C">
            <w:pPr>
              <w:suppressLineNumbers/>
              <w:jc w:val="right"/>
              <w:rPr>
                <w:lang w:val="en-GB"/>
              </w:rPr>
            </w:pPr>
            <w:r w:rsidRPr="3145F70C">
              <w:rPr>
                <w:rFonts w:ascii="Calibri" w:hAnsi="Calibri" w:cs="Calibri"/>
                <w:b/>
                <w:bCs/>
                <w:sz w:val="22"/>
                <w:szCs w:val="22"/>
                <w:lang w:val="en-GB"/>
              </w:rPr>
              <w:lastRenderedPageBreak/>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C4D2D" w14:textId="77777777" w:rsidR="00072C21" w:rsidRDefault="00072C21" w:rsidP="00C15A1C">
            <w:pPr>
              <w:suppressLineNumbers/>
              <w:jc w:val="both"/>
              <w:rPr>
                <w:rFonts w:ascii="Calibri" w:eastAsia="Calibri" w:hAnsi="Calibri" w:cs="Calibri"/>
                <w:color w:val="000000" w:themeColor="text1"/>
                <w:lang w:val="en-GB"/>
              </w:rPr>
            </w:pPr>
            <w:r w:rsidRPr="3145F70C">
              <w:rPr>
                <w:rFonts w:ascii="Calibri" w:eastAsia="Calibri" w:hAnsi="Calibri" w:cs="Calibri"/>
                <w:color w:val="000000" w:themeColor="text1"/>
                <w:lang w:val="en-GB"/>
              </w:rPr>
              <w:t>This amendment reinforces the federalist idea of equality among Member States by promoting fair access to opportunities for all European innovators. It acknowledges existing differences in digital capacity without favoring any region, and ensures that European digital sovereignty is built on inclusion, shared progress, and balanced participation throughout the Union</w:t>
            </w:r>
          </w:p>
          <w:p w14:paraId="31996BE0" w14:textId="77777777" w:rsidR="00072C21" w:rsidRDefault="00072C21" w:rsidP="00C15A1C">
            <w:pPr>
              <w:pStyle w:val="NormaleWeb"/>
              <w:suppressLineNumbers/>
              <w:jc w:val="both"/>
              <w:rPr>
                <w:rFonts w:ascii="Calibri" w:eastAsia="Calibri" w:hAnsi="Calibri" w:cs="Calibri"/>
                <w:color w:val="000000" w:themeColor="text1"/>
                <w:lang w:val="en-GB"/>
              </w:rPr>
            </w:pPr>
          </w:p>
        </w:tc>
      </w:tr>
    </w:tbl>
    <w:p w14:paraId="7D31D55D" w14:textId="77777777" w:rsidR="00072C21" w:rsidRDefault="00072C2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896584" w14:paraId="0DC267CB"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178BB" w14:textId="77777777" w:rsidR="00896584" w:rsidRDefault="00896584"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18184" w14:textId="77777777" w:rsidR="00896584" w:rsidRDefault="00896584"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896584" w14:paraId="1ED51F78"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48B1E" w14:textId="77777777" w:rsidR="00896584" w:rsidRDefault="00896584"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9FCD5" w14:textId="23453170" w:rsidR="00896584" w:rsidRDefault="00896584" w:rsidP="00045687">
            <w:pPr>
              <w:suppressLineNumbers/>
              <w:jc w:val="center"/>
              <w:rPr>
                <w:lang w:val="en-GB"/>
              </w:rPr>
            </w:pPr>
            <w:r>
              <w:rPr>
                <w:lang w:val="en-GB"/>
              </w:rPr>
              <w:t>62</w:t>
            </w:r>
          </w:p>
        </w:tc>
      </w:tr>
      <w:tr w:rsidR="00896584" w14:paraId="1B038B22"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4F8E3" w14:textId="77777777" w:rsidR="00896584" w:rsidRDefault="00896584"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D0272" w14:textId="77777777" w:rsidR="00896584" w:rsidRDefault="00896584" w:rsidP="00045687">
            <w:pPr>
              <w:suppressLineNumbers/>
              <w:jc w:val="center"/>
              <w:rPr>
                <w:lang w:val="en-GB"/>
              </w:rPr>
            </w:pPr>
            <w:r w:rsidRPr="42DE0EC4">
              <w:rPr>
                <w:rFonts w:ascii="Calibri" w:hAnsi="Calibri" w:cs="Calibri"/>
                <w:b/>
                <w:bCs/>
                <w:sz w:val="22"/>
                <w:szCs w:val="22"/>
                <w:lang w:val="en-GB"/>
              </w:rPr>
              <w:t>Amended text</w:t>
            </w:r>
          </w:p>
        </w:tc>
      </w:tr>
      <w:tr w:rsidR="00896584" w:rsidRPr="00AD45E5" w14:paraId="1837606F"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D6845" w14:textId="54143738" w:rsidR="00896584" w:rsidRPr="00896584" w:rsidRDefault="00896584" w:rsidP="00896584">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896584">
              <w:rPr>
                <w:rFonts w:ascii="Gill Sans MT" w:hAnsi="Gill Sans MT"/>
                <w:sz w:val="22"/>
                <w:szCs w:val="22"/>
                <w:lang w:val="en-GB"/>
              </w:rPr>
              <w:t xml:space="preserve">generalize the use of </w:t>
            </w:r>
            <w:r w:rsidRPr="00896584">
              <w:rPr>
                <w:rFonts w:ascii="Gill Sans MT" w:hAnsi="Gill Sans MT"/>
                <w:b/>
                <w:bCs/>
                <w:sz w:val="22"/>
                <w:szCs w:val="22"/>
                <w:lang w:val="en-GB"/>
              </w:rPr>
              <w:t>European</w:t>
            </w:r>
            <w:r w:rsidRPr="00896584">
              <w:rPr>
                <w:rFonts w:ascii="Gill Sans MT" w:hAnsi="Gill Sans MT"/>
                <w:sz w:val="22"/>
                <w:szCs w:val="22"/>
                <w:lang w:val="en-GB"/>
              </w:rPr>
              <w:t xml:space="preserve"> alternatives in their public</w:t>
            </w:r>
            <w:r>
              <w:rPr>
                <w:rFonts w:ascii="Gill Sans MT" w:hAnsi="Gill Sans MT"/>
                <w:sz w:val="22"/>
                <w:szCs w:val="22"/>
                <w:lang w:val="en-GB"/>
              </w:rPr>
              <w:t xml:space="preserve"> </w:t>
            </w:r>
            <w:r w:rsidRPr="00896584">
              <w:rPr>
                <w:rFonts w:ascii="Gill Sans MT" w:hAnsi="Gill Sans MT"/>
                <w:sz w:val="22"/>
                <w:szCs w:val="22"/>
                <w:lang w:val="en-GB"/>
              </w:rPr>
              <w:t>administrations as soon as possible,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25DD" w14:textId="269731FE" w:rsidR="00896584" w:rsidRPr="00896584" w:rsidRDefault="00896584" w:rsidP="00896584">
            <w:pPr>
              <w:pStyle w:val="NormaleWeb"/>
              <w:numPr>
                <w:ilvl w:val="0"/>
                <w:numId w:val="18"/>
              </w:numPr>
              <w:suppressLineNumbers/>
              <w:spacing w:line="276" w:lineRule="auto"/>
              <w:rPr>
                <w:rFonts w:ascii="Gill Sans MT" w:hAnsi="Gill Sans MT"/>
                <w:sz w:val="22"/>
                <w:szCs w:val="22"/>
                <w:lang w:val="en-GB"/>
              </w:rPr>
            </w:pPr>
            <w:r w:rsidRPr="00896584">
              <w:rPr>
                <w:rFonts w:ascii="Gill Sans MT" w:hAnsi="Gill Sans MT"/>
                <w:sz w:val="22"/>
                <w:szCs w:val="22"/>
                <w:lang w:val="en-GB"/>
              </w:rPr>
              <w:t xml:space="preserve">generalize the use of </w:t>
            </w:r>
            <w:r w:rsidRPr="00896584">
              <w:rPr>
                <w:rFonts w:ascii="Gill Sans MT" w:hAnsi="Gill Sans MT"/>
                <w:b/>
                <w:bCs/>
                <w:sz w:val="22"/>
                <w:szCs w:val="22"/>
                <w:lang w:val="en-GB"/>
              </w:rPr>
              <w:t>Europe-based</w:t>
            </w:r>
            <w:r w:rsidRPr="00896584">
              <w:rPr>
                <w:rFonts w:ascii="Gill Sans MT" w:hAnsi="Gill Sans MT"/>
                <w:sz w:val="22"/>
                <w:szCs w:val="22"/>
                <w:lang w:val="en-GB"/>
              </w:rPr>
              <w:t xml:space="preserve"> alternatives in their public</w:t>
            </w:r>
            <w:r>
              <w:rPr>
                <w:rFonts w:ascii="Gill Sans MT" w:hAnsi="Gill Sans MT"/>
                <w:sz w:val="22"/>
                <w:szCs w:val="22"/>
                <w:lang w:val="en-GB"/>
              </w:rPr>
              <w:t xml:space="preserve"> </w:t>
            </w:r>
            <w:r w:rsidRPr="00896584">
              <w:rPr>
                <w:rFonts w:ascii="Gill Sans MT" w:hAnsi="Gill Sans MT"/>
                <w:sz w:val="22"/>
                <w:szCs w:val="22"/>
                <w:lang w:val="en-GB"/>
              </w:rPr>
              <w:t>administrations as soon as possible,</w:t>
            </w:r>
          </w:p>
        </w:tc>
      </w:tr>
      <w:tr w:rsidR="00896584" w:rsidRPr="00AD45E5" w14:paraId="402EF1B4"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B514D" w14:textId="77777777" w:rsidR="00896584" w:rsidRDefault="00896584"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ABBAE" w14:textId="77777777" w:rsidR="00896584" w:rsidRDefault="00896584" w:rsidP="00045687">
            <w:pPr>
              <w:suppressLineNumbers/>
              <w:jc w:val="both"/>
              <w:rPr>
                <w:lang w:val="en-GB"/>
              </w:rPr>
            </w:pPr>
          </w:p>
        </w:tc>
      </w:tr>
    </w:tbl>
    <w:p w14:paraId="402010A8" w14:textId="77777777" w:rsidR="00896584" w:rsidRDefault="00896584" w:rsidP="00AD45E5">
      <w:pPr>
        <w:suppressLineNumbers/>
        <w:rPr>
          <w:rFonts w:ascii="Calibri" w:hAnsi="Calibri" w:cs="Arial"/>
          <w:b/>
          <w:color w:val="FF0000"/>
          <w:sz w:val="22"/>
          <w:szCs w:val="22"/>
          <w:lang w:val="en-US"/>
        </w:rPr>
      </w:pPr>
    </w:p>
    <w:p w14:paraId="1282D351" w14:textId="77777777" w:rsidR="00896584" w:rsidRDefault="00896584"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072C21" w14:paraId="0DA62889" w14:textId="77777777" w:rsidTr="00C15A1C">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01C5" w14:textId="77777777" w:rsidR="00072C21" w:rsidRDefault="00072C21" w:rsidP="00C15A1C">
            <w:pPr>
              <w:suppressLineNumbers/>
              <w:jc w:val="right"/>
              <w:rPr>
                <w:rFonts w:ascii="Calibri" w:hAnsi="Calibri" w:cs="Calibri"/>
                <w:b/>
                <w:bCs/>
                <w:sz w:val="22"/>
                <w:szCs w:val="22"/>
                <w:lang w:val="en-GB"/>
              </w:rPr>
            </w:pPr>
            <w:r w:rsidRPr="2B3BA0A0">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AB032" w14:textId="07C9F88E" w:rsidR="00072C21" w:rsidRDefault="00072C21" w:rsidP="00C15A1C">
            <w:pPr>
              <w:suppressLineNumbers/>
              <w:jc w:val="center"/>
              <w:rPr>
                <w:rFonts w:ascii="Calibri" w:hAnsi="Calibri" w:cs="Calibri"/>
                <w:sz w:val="22"/>
                <w:szCs w:val="22"/>
                <w:lang w:val="en-GB"/>
              </w:rPr>
            </w:pPr>
            <w:r w:rsidRPr="2B3BA0A0">
              <w:rPr>
                <w:rFonts w:ascii="Calibri" w:hAnsi="Calibri" w:cs="Calibri"/>
                <w:sz w:val="22"/>
                <w:szCs w:val="22"/>
                <w:lang w:val="en-GB"/>
              </w:rPr>
              <w:t>UEF Romania Section</w:t>
            </w:r>
          </w:p>
        </w:tc>
      </w:tr>
      <w:tr w:rsidR="00072C21" w14:paraId="7E4CD674" w14:textId="77777777" w:rsidTr="00C15A1C">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DD65A" w14:textId="77777777" w:rsidR="00072C21" w:rsidRDefault="00072C21" w:rsidP="00C15A1C">
            <w:pPr>
              <w:suppressLineNumbers/>
              <w:jc w:val="right"/>
              <w:rPr>
                <w:lang w:val="en-GB"/>
              </w:rPr>
            </w:pPr>
            <w:r w:rsidRPr="2B3BA0A0">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51895" w14:textId="77777777" w:rsidR="00072C21" w:rsidRDefault="00072C21" w:rsidP="00C15A1C">
            <w:pPr>
              <w:suppressLineNumbers/>
              <w:jc w:val="center"/>
              <w:rPr>
                <w:lang w:val="en-GB"/>
              </w:rPr>
            </w:pPr>
            <w:r w:rsidRPr="2B3BA0A0">
              <w:rPr>
                <w:lang w:val="en-GB"/>
              </w:rPr>
              <w:t>62-64</w:t>
            </w:r>
          </w:p>
        </w:tc>
      </w:tr>
      <w:tr w:rsidR="00072C21" w14:paraId="620D7F57" w14:textId="77777777" w:rsidTr="00C15A1C">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C2789" w14:textId="77777777" w:rsidR="00072C21" w:rsidRDefault="00072C21" w:rsidP="00C15A1C">
            <w:pPr>
              <w:suppressLineNumbers/>
              <w:jc w:val="center"/>
              <w:rPr>
                <w:lang w:val="en-GB"/>
              </w:rPr>
            </w:pPr>
            <w:r w:rsidRPr="2B3BA0A0">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5954E" w14:textId="77777777" w:rsidR="00072C21" w:rsidRDefault="00072C21" w:rsidP="00C15A1C">
            <w:pPr>
              <w:suppressLineNumbers/>
              <w:jc w:val="center"/>
              <w:rPr>
                <w:lang w:val="en-GB"/>
              </w:rPr>
            </w:pPr>
            <w:r w:rsidRPr="2B3BA0A0">
              <w:rPr>
                <w:rFonts w:ascii="Calibri" w:hAnsi="Calibri" w:cs="Calibri"/>
                <w:b/>
                <w:bCs/>
                <w:sz w:val="22"/>
                <w:szCs w:val="22"/>
                <w:lang w:val="en-GB"/>
              </w:rPr>
              <w:t>Amended text</w:t>
            </w:r>
          </w:p>
        </w:tc>
      </w:tr>
      <w:tr w:rsidR="00072C21" w:rsidRPr="00AD45E5" w14:paraId="65A5AD94" w14:textId="77777777" w:rsidTr="00C15A1C">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1AAD" w14:textId="77777777" w:rsidR="00072C21" w:rsidRPr="00B41C1C" w:rsidRDefault="00072C21" w:rsidP="00C15A1C">
            <w:pPr>
              <w:suppressLineNumbers/>
              <w:jc w:val="both"/>
              <w:rPr>
                <w:rFonts w:ascii="Calibri" w:eastAsia="Calibri" w:hAnsi="Calibri" w:cs="Calibri"/>
                <w:color w:val="000000" w:themeColor="text1"/>
                <w:lang w:val="en-GB"/>
              </w:rPr>
            </w:pPr>
            <w:r w:rsidRPr="2B3BA0A0">
              <w:rPr>
                <w:rFonts w:ascii="Calibri" w:eastAsia="Calibri" w:hAnsi="Calibri" w:cs="Calibri"/>
                <w:color w:val="000000" w:themeColor="text1"/>
                <w:lang w:val="en-GB"/>
              </w:rPr>
              <w:t>“generalize the use of European alternatives in their public administrations as soon as possible, prioritizing communication and sensitive data storage tools, and harmonize their public procurement policies to foster the emergence of an integrated European digital ecosystem,”</w:t>
            </w:r>
          </w:p>
          <w:p w14:paraId="029B322C" w14:textId="77777777" w:rsidR="00072C21" w:rsidRPr="00B41C1C" w:rsidRDefault="00072C21" w:rsidP="00C15A1C">
            <w:pPr>
              <w:suppressLineNumbers/>
              <w:jc w:val="both"/>
              <w:rPr>
                <w:rFonts w:ascii="Calibri" w:eastAsia="Calibri" w:hAnsi="Calibri" w:cs="Calibri"/>
                <w:color w:val="000000" w:themeColor="text1"/>
                <w:lang w:val="en-GB"/>
              </w:rPr>
            </w:pPr>
          </w:p>
          <w:p w14:paraId="16E074DD" w14:textId="77777777" w:rsidR="00072C21" w:rsidRPr="00B41C1C" w:rsidRDefault="00072C21" w:rsidP="00C15A1C">
            <w:pPr>
              <w:pStyle w:val="NormaleWeb"/>
              <w:suppressLineNumbers/>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00294" w14:textId="77777777" w:rsidR="00072C21" w:rsidRPr="00B41C1C" w:rsidRDefault="00072C21" w:rsidP="00C15A1C">
            <w:pPr>
              <w:suppressLineNumbers/>
              <w:jc w:val="both"/>
              <w:rPr>
                <w:rFonts w:ascii="Calibri" w:eastAsia="Calibri" w:hAnsi="Calibri" w:cs="Calibri"/>
                <w:color w:val="000000" w:themeColor="text1"/>
                <w:lang w:val="en-GB"/>
              </w:rPr>
            </w:pPr>
            <w:r w:rsidRPr="2B3BA0A0">
              <w:rPr>
                <w:rFonts w:ascii="Calibri" w:eastAsia="Calibri" w:hAnsi="Calibri" w:cs="Calibri"/>
                <w:color w:val="000000" w:themeColor="text1"/>
                <w:lang w:val="en-GB"/>
              </w:rPr>
              <w:t>“generalize the use of European alternatives in their public administrations as soon as possible, prioritizing communication and sensitive data storage tools, harmonize their public procurement policies, and establish a permanent coordination framework among Member States to monitor progress, set common minimum digital standards, and ensure that public institutions and Member States with lower digital capacities receive the necessary support to reach these standards, fostering the emergence of an integrated and cohesive European digital ecosystem, ”</w:t>
            </w:r>
          </w:p>
          <w:p w14:paraId="019FAC67" w14:textId="77777777" w:rsidR="00072C21" w:rsidRPr="00B41C1C" w:rsidRDefault="00072C21" w:rsidP="00C15A1C">
            <w:pPr>
              <w:suppressLineNumbers/>
              <w:jc w:val="both"/>
              <w:rPr>
                <w:rFonts w:ascii="Calibri" w:eastAsia="Calibri" w:hAnsi="Calibri" w:cs="Calibri"/>
                <w:color w:val="000000" w:themeColor="text1"/>
                <w:lang w:val="en-GB"/>
              </w:rPr>
            </w:pPr>
          </w:p>
        </w:tc>
      </w:tr>
      <w:tr w:rsidR="00072C21" w:rsidRPr="00AD45E5" w14:paraId="65167257" w14:textId="77777777" w:rsidTr="00C15A1C">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0EF85" w14:textId="77777777" w:rsidR="00072C21" w:rsidRDefault="00072C21" w:rsidP="00C15A1C">
            <w:pPr>
              <w:suppressLineNumbers/>
              <w:jc w:val="right"/>
              <w:rPr>
                <w:lang w:val="en-GB"/>
              </w:rPr>
            </w:pPr>
            <w:r w:rsidRPr="2B3BA0A0">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17DB5" w14:textId="77777777" w:rsidR="00072C21" w:rsidRDefault="00072C21" w:rsidP="00C15A1C">
            <w:pPr>
              <w:pStyle w:val="NormaleWeb"/>
              <w:suppressLineNumbers/>
              <w:ind w:left="720"/>
              <w:rPr>
                <w:rFonts w:ascii="Gill Sans MT" w:hAnsi="Gill Sans MT"/>
                <w:sz w:val="22"/>
                <w:szCs w:val="22"/>
                <w:lang w:val="en-GB"/>
              </w:rPr>
            </w:pPr>
          </w:p>
          <w:p w14:paraId="71707207" w14:textId="77777777" w:rsidR="00072C21" w:rsidRDefault="00072C21" w:rsidP="00C15A1C">
            <w:pPr>
              <w:suppressLineNumbers/>
              <w:jc w:val="both"/>
              <w:rPr>
                <w:rFonts w:ascii="Calibri" w:eastAsia="Calibri" w:hAnsi="Calibri" w:cs="Calibri"/>
                <w:color w:val="000000" w:themeColor="text1"/>
                <w:lang w:val="en-GB"/>
              </w:rPr>
            </w:pPr>
            <w:r w:rsidRPr="2B3BA0A0">
              <w:rPr>
                <w:rFonts w:ascii="Calibri" w:eastAsia="Calibri" w:hAnsi="Calibri" w:cs="Calibri"/>
                <w:color w:val="000000" w:themeColor="text1"/>
                <w:lang w:val="en-GB"/>
              </w:rPr>
              <w:lastRenderedPageBreak/>
              <w:t xml:space="preserve"> This amendment transforms the idea of coordination into a concrete federal mechanism. By setting minimum digital standards and ensuring targeted support for Member States with lower digital capacity, it promotes balanced progress, shared responsibility, and cohesion in the development of a truly integrated European digital space</w:t>
            </w:r>
          </w:p>
          <w:p w14:paraId="01D35841" w14:textId="77777777" w:rsidR="00072C21" w:rsidRDefault="00072C21" w:rsidP="00C15A1C">
            <w:pPr>
              <w:suppressLineNumbers/>
              <w:jc w:val="both"/>
              <w:rPr>
                <w:rFonts w:ascii="Calibri" w:eastAsia="Calibri" w:hAnsi="Calibri" w:cs="Calibri"/>
                <w:color w:val="000000" w:themeColor="text1"/>
                <w:lang w:val="en-GB"/>
              </w:rPr>
            </w:pPr>
          </w:p>
          <w:p w14:paraId="23ED63B2" w14:textId="77777777" w:rsidR="00072C21" w:rsidRDefault="00072C21" w:rsidP="00C15A1C">
            <w:pPr>
              <w:pStyle w:val="NormaleWeb"/>
              <w:suppressLineNumbers/>
              <w:jc w:val="both"/>
              <w:rPr>
                <w:rFonts w:ascii="Calibri" w:eastAsia="Calibri" w:hAnsi="Calibri" w:cs="Calibri"/>
                <w:color w:val="000000" w:themeColor="text1"/>
                <w:lang w:val="en-GB"/>
              </w:rPr>
            </w:pPr>
          </w:p>
        </w:tc>
      </w:tr>
    </w:tbl>
    <w:p w14:paraId="20F3DA0A" w14:textId="77777777" w:rsidR="00072C21" w:rsidRDefault="00072C2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896584" w14:paraId="01FAD07C"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4A776" w14:textId="77777777" w:rsidR="00896584" w:rsidRDefault="00896584" w:rsidP="00045687">
            <w:pPr>
              <w:suppressLineNumbers/>
              <w:jc w:val="right"/>
              <w:rPr>
                <w:rFonts w:ascii="Calibri" w:hAnsi="Calibri" w:cs="Calibri"/>
                <w:b/>
                <w:bCs/>
                <w:sz w:val="22"/>
                <w:szCs w:val="22"/>
                <w:lang w:val="en-GB"/>
              </w:rPr>
            </w:pPr>
            <w:r w:rsidRPr="42DE0EC4">
              <w:rPr>
                <w:rFonts w:ascii="Calibri" w:hAnsi="Calibri" w:cs="Calibri"/>
                <w:b/>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925C5" w14:textId="77777777" w:rsidR="00896584" w:rsidRDefault="00896584" w:rsidP="00045687">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896584" w14:paraId="7BE8F4D5" w14:textId="77777777" w:rsidTr="00045687">
        <w:trPr>
          <w:trHeight w:val="30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CD754" w14:textId="77777777" w:rsidR="00896584" w:rsidRDefault="00896584" w:rsidP="00045687">
            <w:pPr>
              <w:suppressLineNumbers/>
              <w:jc w:val="right"/>
              <w:rPr>
                <w:lang w:val="en-GB"/>
              </w:rPr>
            </w:pPr>
            <w:r w:rsidRPr="42DE0EC4">
              <w:rPr>
                <w:rFonts w:ascii="Calibri" w:hAnsi="Calibri" w:cs="Calibri"/>
                <w:b/>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D606D" w14:textId="5A80A2EB" w:rsidR="00896584" w:rsidRDefault="00896584" w:rsidP="00045687">
            <w:pPr>
              <w:suppressLineNumbers/>
              <w:jc w:val="center"/>
              <w:rPr>
                <w:lang w:val="en-GB"/>
              </w:rPr>
            </w:pPr>
            <w:r>
              <w:rPr>
                <w:lang w:val="en-GB"/>
              </w:rPr>
              <w:t>68</w:t>
            </w:r>
          </w:p>
        </w:tc>
      </w:tr>
      <w:tr w:rsidR="00896584" w14:paraId="3C49B0AD" w14:textId="77777777" w:rsidTr="00045687">
        <w:trPr>
          <w:trHeight w:val="300"/>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59B45" w14:textId="77777777" w:rsidR="00896584" w:rsidRDefault="00896584" w:rsidP="00045687">
            <w:pPr>
              <w:suppressLineNumbers/>
              <w:jc w:val="center"/>
              <w:rPr>
                <w:lang w:val="en-GB"/>
              </w:rPr>
            </w:pPr>
            <w:r w:rsidRPr="42DE0EC4">
              <w:rPr>
                <w:rFonts w:ascii="Calibri" w:hAnsi="Calibri" w:cs="Calibri"/>
                <w:b/>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284B3" w14:textId="77777777" w:rsidR="00896584" w:rsidRDefault="00896584" w:rsidP="00045687">
            <w:pPr>
              <w:suppressLineNumbers/>
              <w:jc w:val="center"/>
              <w:rPr>
                <w:lang w:val="en-GB"/>
              </w:rPr>
            </w:pPr>
            <w:r w:rsidRPr="42DE0EC4">
              <w:rPr>
                <w:rFonts w:ascii="Calibri" w:hAnsi="Calibri" w:cs="Calibri"/>
                <w:b/>
                <w:bCs/>
                <w:sz w:val="22"/>
                <w:szCs w:val="22"/>
                <w:lang w:val="en-GB"/>
              </w:rPr>
              <w:t>Amended text</w:t>
            </w:r>
          </w:p>
        </w:tc>
      </w:tr>
      <w:tr w:rsidR="00896584" w:rsidRPr="00AD45E5" w14:paraId="1CB7BEA7" w14:textId="77777777" w:rsidTr="00045687">
        <w:trPr>
          <w:trHeight w:val="911"/>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BBB2E" w14:textId="3723CA3C" w:rsidR="00896584" w:rsidRPr="00896584" w:rsidRDefault="00896584" w:rsidP="00896584">
            <w:pPr>
              <w:pStyle w:val="Paragrafoelenco"/>
              <w:numPr>
                <w:ilvl w:val="0"/>
                <w:numId w:val="18"/>
              </w:numPr>
              <w:shd w:val="clear" w:color="auto" w:fill="FFFFFF"/>
              <w:suppressAutoHyphens w:val="0"/>
              <w:spacing w:line="276" w:lineRule="auto"/>
              <w:jc w:val="both"/>
              <w:rPr>
                <w:rFonts w:ascii="Gill Sans MT" w:hAnsi="Gill Sans MT"/>
                <w:sz w:val="22"/>
                <w:szCs w:val="22"/>
                <w:lang w:val="en-GB"/>
              </w:rPr>
            </w:pPr>
            <w:r w:rsidRPr="00896584">
              <w:rPr>
                <w:rFonts w:ascii="Gill Sans MT" w:hAnsi="Gill Sans MT"/>
                <w:sz w:val="22"/>
                <w:szCs w:val="22"/>
                <w:lang w:val="en-GB"/>
              </w:rPr>
              <w:t xml:space="preserve">show example, and migrate, as soon as possible, to </w:t>
            </w:r>
            <w:r w:rsidRPr="00896584">
              <w:rPr>
                <w:rFonts w:ascii="Gill Sans MT" w:hAnsi="Gill Sans MT"/>
                <w:b/>
                <w:bCs/>
                <w:sz w:val="22"/>
                <w:szCs w:val="22"/>
                <w:lang w:val="en-GB"/>
              </w:rPr>
              <w:t>European</w:t>
            </w:r>
            <w:r w:rsidRPr="00896584">
              <w:rPr>
                <w:rFonts w:ascii="Gill Sans MT" w:hAnsi="Gill Sans MT"/>
                <w:sz w:val="22"/>
                <w:szCs w:val="22"/>
                <w:lang w:val="en-GB"/>
              </w:rPr>
              <w:t xml:space="preserve"> digital tools for their internal and external activities,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8C7DA" w14:textId="73122C5F" w:rsidR="00896584" w:rsidRPr="00896584" w:rsidRDefault="00896584" w:rsidP="00896584">
            <w:pPr>
              <w:pStyle w:val="NormaleWeb"/>
              <w:numPr>
                <w:ilvl w:val="0"/>
                <w:numId w:val="18"/>
              </w:numPr>
              <w:suppressLineNumbers/>
              <w:spacing w:line="276" w:lineRule="auto"/>
              <w:rPr>
                <w:rFonts w:ascii="Gill Sans MT" w:hAnsi="Gill Sans MT"/>
                <w:sz w:val="22"/>
                <w:szCs w:val="22"/>
                <w:lang w:val="en-GB"/>
              </w:rPr>
            </w:pPr>
            <w:r w:rsidRPr="00896584">
              <w:rPr>
                <w:rFonts w:ascii="Gill Sans MT" w:hAnsi="Gill Sans MT"/>
                <w:sz w:val="22"/>
                <w:szCs w:val="22"/>
                <w:lang w:val="en-GB"/>
              </w:rPr>
              <w:t xml:space="preserve">show example, and migrate, as soon as possible, to </w:t>
            </w:r>
            <w:r w:rsidRPr="00896584">
              <w:rPr>
                <w:rFonts w:ascii="Gill Sans MT" w:hAnsi="Gill Sans MT"/>
                <w:b/>
                <w:bCs/>
                <w:sz w:val="22"/>
                <w:szCs w:val="22"/>
                <w:lang w:val="en-GB"/>
              </w:rPr>
              <w:t>compliant</w:t>
            </w:r>
            <w:r w:rsidRPr="00896584">
              <w:rPr>
                <w:rFonts w:ascii="Gill Sans MT" w:hAnsi="Gill Sans MT"/>
                <w:b/>
                <w:bCs/>
                <w:sz w:val="22"/>
                <w:szCs w:val="22"/>
                <w:lang w:val="en-GB"/>
              </w:rPr>
              <w:t xml:space="preserve"> </w:t>
            </w:r>
            <w:r w:rsidRPr="00896584">
              <w:rPr>
                <w:rFonts w:ascii="Gill Sans MT" w:hAnsi="Gill Sans MT"/>
                <w:b/>
                <w:bCs/>
                <w:sz w:val="22"/>
                <w:szCs w:val="22"/>
                <w:lang w:val="en-GB"/>
              </w:rPr>
              <w:t>Europe-based</w:t>
            </w:r>
            <w:r w:rsidRPr="00896584">
              <w:rPr>
                <w:rFonts w:ascii="Gill Sans MT" w:hAnsi="Gill Sans MT"/>
                <w:sz w:val="22"/>
                <w:szCs w:val="22"/>
                <w:lang w:val="en-GB"/>
              </w:rPr>
              <w:t xml:space="preserve"> digital tools for their internal and external activities,</w:t>
            </w:r>
          </w:p>
        </w:tc>
      </w:tr>
      <w:tr w:rsidR="00896584" w:rsidRPr="00AD45E5" w14:paraId="668DA4BB" w14:textId="77777777" w:rsidTr="0004568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9D8F2" w14:textId="77777777" w:rsidR="00896584" w:rsidRDefault="00896584" w:rsidP="00045687">
            <w:pPr>
              <w:suppressLineNumbers/>
              <w:jc w:val="right"/>
              <w:rPr>
                <w:lang w:val="en-GB"/>
              </w:rPr>
            </w:pPr>
            <w:r w:rsidRPr="42DE0EC4">
              <w:rPr>
                <w:rFonts w:ascii="Calibri" w:hAnsi="Calibri" w:cs="Calibri"/>
                <w:b/>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4924F" w14:textId="77777777" w:rsidR="00896584" w:rsidRDefault="00896584" w:rsidP="00045687">
            <w:pPr>
              <w:suppressLineNumbers/>
              <w:jc w:val="both"/>
              <w:rPr>
                <w:lang w:val="en-GB"/>
              </w:rPr>
            </w:pPr>
          </w:p>
        </w:tc>
      </w:tr>
    </w:tbl>
    <w:p w14:paraId="3EBB944A" w14:textId="77777777" w:rsidR="00896584" w:rsidRDefault="00896584" w:rsidP="00AD45E5">
      <w:pPr>
        <w:suppressLineNumbers/>
        <w:rPr>
          <w:rFonts w:ascii="Calibri" w:hAnsi="Calibri" w:cs="Arial"/>
          <w:b/>
          <w:color w:val="FF0000"/>
          <w:sz w:val="22"/>
          <w:szCs w:val="22"/>
          <w:lang w:val="en-US"/>
        </w:rPr>
      </w:pPr>
    </w:p>
    <w:sectPr w:rsidR="00896584" w:rsidSect="00AD45E5">
      <w:headerReference w:type="default" r:id="rId8"/>
      <w:pgSz w:w="11906" w:h="16838"/>
      <w:pgMar w:top="1417" w:right="1134" w:bottom="1134" w:left="1134"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6581" w14:textId="77777777" w:rsidR="00EC450D" w:rsidRDefault="00EC450D" w:rsidP="00AD45E5">
      <w:r>
        <w:separator/>
      </w:r>
    </w:p>
  </w:endnote>
  <w:endnote w:type="continuationSeparator" w:id="0">
    <w:p w14:paraId="3311C3C6" w14:textId="77777777" w:rsidR="00EC450D" w:rsidRDefault="00EC450D"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DC9F" w14:textId="77777777" w:rsidR="00EC450D" w:rsidRDefault="00EC450D" w:rsidP="00AD45E5">
      <w:r>
        <w:separator/>
      </w:r>
    </w:p>
  </w:footnote>
  <w:footnote w:type="continuationSeparator" w:id="0">
    <w:p w14:paraId="4BC128B7" w14:textId="77777777" w:rsidR="00EC450D" w:rsidRDefault="00EC450D" w:rsidP="00AD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pPr>
  </w:p>
  <w:p w14:paraId="55AD42EA" w14:textId="77777777" w:rsidR="00AD45E5" w:rsidRDefault="00AD45E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AD45E5" w14:paraId="62DA8963" w14:textId="77777777" w:rsidTr="00C75FDF">
      <w:tc>
        <w:tcPr>
          <w:tcW w:w="4811" w:type="dxa"/>
        </w:tcPr>
        <w:p w14:paraId="05E161B7" w14:textId="77777777" w:rsidR="00AD45E5" w:rsidRDefault="00AD45E5" w:rsidP="00AD45E5">
          <w:pPr>
            <w:pStyle w:val="Intestazione"/>
            <w:rPr>
              <w:lang w:val="en-US"/>
            </w:rPr>
          </w:pPr>
          <w:bookmarkStart w:id="1" w:name="_Hlk181001806"/>
          <w:r>
            <w:rPr>
              <w:noProof/>
              <w:lang w:val="en-GB" w:eastAsia="en-GB"/>
            </w:rPr>
            <w:drawing>
              <wp:inline distT="0" distB="0" distL="0" distR="0" wp14:anchorId="74D57DF1" wp14:editId="5AA89EA3">
                <wp:extent cx="2304415" cy="499745"/>
                <wp:effectExtent l="0" t="0" r="635" b="0"/>
                <wp:docPr id="8" name="Immagine 8"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326E68DF" w14:textId="77777777" w:rsidR="00AD45E5" w:rsidRPr="00126882" w:rsidRDefault="00AD45E5" w:rsidP="00AD45E5">
          <w:pPr>
            <w:pStyle w:val="Intestazione"/>
            <w:jc w:val="right"/>
            <w:rPr>
              <w:rFonts w:cstheme="minorHAnsi"/>
              <w:lang w:val="en-US"/>
            </w:rPr>
          </w:pPr>
          <w:r w:rsidRPr="00126882">
            <w:rPr>
              <w:rFonts w:cstheme="minorHAnsi"/>
              <w:lang w:val="en-US"/>
            </w:rPr>
            <w:t>FEDERAL COMMITTEE MEETING</w:t>
          </w:r>
        </w:p>
        <w:p w14:paraId="50BA001D" w14:textId="1241D81A" w:rsidR="00AD45E5" w:rsidRDefault="00AD45E5" w:rsidP="00AD45E5">
          <w:pPr>
            <w:pStyle w:val="Intestazione"/>
            <w:jc w:val="right"/>
            <w:rPr>
              <w:rFonts w:cstheme="minorHAnsi"/>
              <w:lang w:val="en-US"/>
            </w:rPr>
          </w:pPr>
          <w:r>
            <w:rPr>
              <w:rFonts w:cstheme="minorHAnsi"/>
              <w:lang w:val="en-US"/>
            </w:rPr>
            <w:t>Athens</w:t>
          </w:r>
          <w:r w:rsidRPr="00126882">
            <w:rPr>
              <w:rFonts w:cstheme="minorHAnsi"/>
              <w:lang w:val="en-US"/>
            </w:rPr>
            <w:t xml:space="preserve">, </w:t>
          </w:r>
          <w:r>
            <w:rPr>
              <w:rFonts w:cstheme="minorHAnsi"/>
              <w:lang w:val="en-US"/>
            </w:rPr>
            <w:t xml:space="preserve">21-22 November </w:t>
          </w:r>
          <w:r w:rsidRPr="00126882">
            <w:rPr>
              <w:rFonts w:cstheme="minorHAnsi"/>
              <w:lang w:val="en-US"/>
            </w:rPr>
            <w:t>202</w:t>
          </w:r>
          <w:r>
            <w:rPr>
              <w:rFonts w:cstheme="minorHAnsi"/>
              <w:lang w:val="en-US"/>
            </w:rPr>
            <w:t>5</w:t>
          </w:r>
        </w:p>
        <w:p w14:paraId="0AA32EDB" w14:textId="54AEBDE4" w:rsidR="00AD45E5" w:rsidRPr="00126882" w:rsidRDefault="00AD45E5" w:rsidP="00AD45E5">
          <w:pPr>
            <w:pStyle w:val="Intestazione"/>
            <w:jc w:val="right"/>
            <w:rPr>
              <w:rFonts w:cstheme="minorHAnsi"/>
              <w:lang w:val="en-US"/>
            </w:rPr>
          </w:pPr>
          <w:r>
            <w:rPr>
              <w:rFonts w:cstheme="minorHAnsi"/>
              <w:lang w:val="en-US"/>
            </w:rPr>
            <w:t xml:space="preserve">Proposal of resolution </w:t>
          </w:r>
          <w:r w:rsidR="00072C21">
            <w:rPr>
              <w:rFonts w:cstheme="minorHAnsi"/>
              <w:lang w:val="en-US"/>
            </w:rPr>
            <w:t>4</w:t>
          </w:r>
        </w:p>
        <w:p w14:paraId="314944A0" w14:textId="77777777" w:rsidR="00AD45E5" w:rsidRPr="00126882" w:rsidRDefault="00AD45E5" w:rsidP="00AD45E5">
          <w:pPr>
            <w:pStyle w:val="Intestazione"/>
            <w:rPr>
              <w:rFonts w:cstheme="minorHAnsi"/>
              <w:lang w:val="en-US"/>
            </w:rPr>
          </w:pPr>
        </w:p>
      </w:tc>
    </w:tr>
    <w:bookmarkEnd w:id="1"/>
  </w:tbl>
  <w:p w14:paraId="67BDE4AC" w14:textId="77777777" w:rsidR="00AD45E5" w:rsidRPr="00072C21" w:rsidRDefault="00AD45E5">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82490"/>
    <w:multiLevelType w:val="hybridMultilevel"/>
    <w:tmpl w:val="BF049364"/>
    <w:lvl w:ilvl="0" w:tplc="FEC0B10C">
      <w:start w:val="4"/>
      <w:numFmt w:val="bullet"/>
      <w:lvlText w:val="-"/>
      <w:lvlJc w:val="left"/>
      <w:pPr>
        <w:ind w:left="720" w:hanging="360"/>
      </w:pPr>
      <w:rPr>
        <w:rFonts w:ascii="Gill Sans MT" w:eastAsia="Times New Roman" w:hAnsi="Gill Sans MT"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BCA73C5"/>
    <w:multiLevelType w:val="hybridMultilevel"/>
    <w:tmpl w:val="7B6413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5422D"/>
    <w:multiLevelType w:val="hybridMultilevel"/>
    <w:tmpl w:val="B8E0E3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1251408"/>
    <w:multiLevelType w:val="hybridMultilevel"/>
    <w:tmpl w:val="B8D8AF62"/>
    <w:lvl w:ilvl="0" w:tplc="7E12DC4A">
      <w:start w:val="5"/>
      <w:numFmt w:val="bullet"/>
      <w:lvlText w:val="-"/>
      <w:lvlJc w:val="left"/>
      <w:pPr>
        <w:ind w:left="720" w:hanging="360"/>
      </w:pPr>
      <w:rPr>
        <w:rFonts w:ascii="Gill Sans MT" w:eastAsia="Times New Roman" w:hAnsi="Gill Sans MT" w:cs="Open San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F812D6"/>
    <w:multiLevelType w:val="hybridMultilevel"/>
    <w:tmpl w:val="7CCE893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5860">
    <w:abstractNumId w:val="2"/>
  </w:num>
  <w:num w:numId="2" w16cid:durableId="609436791">
    <w:abstractNumId w:val="3"/>
  </w:num>
  <w:num w:numId="3" w16cid:durableId="907611201">
    <w:abstractNumId w:val="8"/>
  </w:num>
  <w:num w:numId="4" w16cid:durableId="945619294">
    <w:abstractNumId w:val="9"/>
  </w:num>
  <w:num w:numId="5" w16cid:durableId="314381762">
    <w:abstractNumId w:val="4"/>
  </w:num>
  <w:num w:numId="6" w16cid:durableId="1375158903">
    <w:abstractNumId w:val="13"/>
  </w:num>
  <w:num w:numId="7" w16cid:durableId="1907497000">
    <w:abstractNumId w:val="0"/>
  </w:num>
  <w:num w:numId="8" w16cid:durableId="2091194387">
    <w:abstractNumId w:val="17"/>
  </w:num>
  <w:num w:numId="9" w16cid:durableId="1749421972">
    <w:abstractNumId w:val="12"/>
  </w:num>
  <w:num w:numId="10" w16cid:durableId="968633162">
    <w:abstractNumId w:val="11"/>
  </w:num>
  <w:num w:numId="11" w16cid:durableId="1193883619">
    <w:abstractNumId w:val="6"/>
  </w:num>
  <w:num w:numId="12" w16cid:durableId="567687730">
    <w:abstractNumId w:val="14"/>
  </w:num>
  <w:num w:numId="13" w16cid:durableId="90902378">
    <w:abstractNumId w:val="1"/>
  </w:num>
  <w:num w:numId="14" w16cid:durableId="695468294">
    <w:abstractNumId w:val="16"/>
  </w:num>
  <w:num w:numId="15" w16cid:durableId="1731684543">
    <w:abstractNumId w:val="7"/>
  </w:num>
  <w:num w:numId="16" w16cid:durableId="2079983303">
    <w:abstractNumId w:val="15"/>
  </w:num>
  <w:num w:numId="17" w16cid:durableId="1427457551">
    <w:abstractNumId w:val="5"/>
  </w:num>
  <w:num w:numId="18" w16cid:durableId="1990672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dataType w:val="textFile"/>
    <w:query w:val="SELECT * FROM Adresses.dbo.Adhérents 2022$"/>
  </w:mailMerg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03681"/>
    <w:rsid w:val="0006052A"/>
    <w:rsid w:val="00072C21"/>
    <w:rsid w:val="00085A8B"/>
    <w:rsid w:val="000C5EAB"/>
    <w:rsid w:val="00123FD6"/>
    <w:rsid w:val="00145EFA"/>
    <w:rsid w:val="00196A75"/>
    <w:rsid w:val="00281497"/>
    <w:rsid w:val="002D76DB"/>
    <w:rsid w:val="00330E41"/>
    <w:rsid w:val="003C0F0D"/>
    <w:rsid w:val="00457091"/>
    <w:rsid w:val="004834B1"/>
    <w:rsid w:val="004D2E43"/>
    <w:rsid w:val="004D33EA"/>
    <w:rsid w:val="005467FC"/>
    <w:rsid w:val="006D5930"/>
    <w:rsid w:val="006E2570"/>
    <w:rsid w:val="008077DF"/>
    <w:rsid w:val="00884911"/>
    <w:rsid w:val="00887D2D"/>
    <w:rsid w:val="00896584"/>
    <w:rsid w:val="008C3A23"/>
    <w:rsid w:val="00923562"/>
    <w:rsid w:val="00A108BB"/>
    <w:rsid w:val="00A8463A"/>
    <w:rsid w:val="00AA4B5B"/>
    <w:rsid w:val="00AA6A23"/>
    <w:rsid w:val="00AD45E5"/>
    <w:rsid w:val="00AF1B7A"/>
    <w:rsid w:val="00B46FF0"/>
    <w:rsid w:val="00B96057"/>
    <w:rsid w:val="00BB60DA"/>
    <w:rsid w:val="00BC3CA2"/>
    <w:rsid w:val="00C31CB4"/>
    <w:rsid w:val="00CA2A04"/>
    <w:rsid w:val="00CA398F"/>
    <w:rsid w:val="00CC7F64"/>
    <w:rsid w:val="00CD0D51"/>
    <w:rsid w:val="00E3048B"/>
    <w:rsid w:val="00E66A90"/>
    <w:rsid w:val="00EC450D"/>
    <w:rsid w:val="00F06A1E"/>
    <w:rsid w:val="00F1203E"/>
    <w:rsid w:val="00F46E98"/>
    <w:rsid w:val="00F708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10120</Characters>
  <Application>Microsoft Office Word</Application>
  <DocSecurity>0</DocSecurity>
  <Lines>297</Lines>
  <Paragraphs>109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8</cp:revision>
  <dcterms:created xsi:type="dcterms:W3CDTF">2025-10-22T11:01:00Z</dcterms:created>
  <dcterms:modified xsi:type="dcterms:W3CDTF">2025-11-17T21:56:00Z</dcterms:modified>
  <dc:language>fr-FR</dc:language>
</cp:coreProperties>
</file>