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4C92" w14:textId="35BB3B77" w:rsidR="00AD45E5" w:rsidRPr="00EF4D0B" w:rsidRDefault="00AD45E5" w:rsidP="00AD45E5">
      <w:pPr>
        <w:shd w:val="clear" w:color="auto" w:fill="538135" w:themeFill="accent6" w:themeFillShade="BF"/>
        <w:rPr>
          <w:rFonts w:ascii="Gill Sans MT" w:hAnsi="Gill Sans MT"/>
          <w:b/>
          <w:bCs/>
          <w:i/>
          <w:iCs/>
          <w:color w:val="FFFFFF" w:themeColor="background1"/>
          <w:sz w:val="28"/>
          <w:szCs w:val="28"/>
          <w:lang w:val="en-GB"/>
        </w:rPr>
      </w:pPr>
      <w:bookmarkStart w:id="0" w:name="_Hlk181001867"/>
      <w:r>
        <w:rPr>
          <w:rFonts w:ascii="Gill Sans MT" w:hAnsi="Gill Sans MT"/>
          <w:b/>
          <w:bCs/>
          <w:i/>
          <w:iCs/>
          <w:color w:val="FFFFFF" w:themeColor="background1"/>
          <w:sz w:val="28"/>
          <w:szCs w:val="28"/>
          <w:lang w:val="en-GB"/>
        </w:rPr>
        <w:t>[Title]</w:t>
      </w:r>
    </w:p>
    <w:p w14:paraId="33E1609F" w14:textId="77777777" w:rsidR="00AD45E5" w:rsidRPr="0093699D" w:rsidRDefault="00AD45E5" w:rsidP="00AD45E5">
      <w:pPr>
        <w:shd w:val="clear" w:color="auto" w:fill="538135" w:themeFill="accent6" w:themeFillShade="BF"/>
        <w:rPr>
          <w:rFonts w:ascii="Gill Sans MT" w:hAnsi="Gill Sans MT"/>
          <w:b/>
          <w:color w:val="FFFFFF" w:themeColor="background1"/>
          <w:lang w:val="en-GB"/>
        </w:rPr>
      </w:pPr>
    </w:p>
    <w:p w14:paraId="68447698" w14:textId="54EE0F51" w:rsidR="00AD45E5" w:rsidRPr="0093699D" w:rsidRDefault="00AD45E5" w:rsidP="00AD45E5">
      <w:pPr>
        <w:shd w:val="clear" w:color="auto" w:fill="538135" w:themeFill="accent6" w:themeFillShade="BF"/>
        <w:rPr>
          <w:rFonts w:ascii="Gill Sans MT" w:hAnsi="Gill Sans MT"/>
          <w:color w:val="FFFFFF" w:themeColor="background1"/>
          <w:sz w:val="40"/>
          <w:szCs w:val="40"/>
          <w:lang w:val="en-GB"/>
        </w:rPr>
      </w:pPr>
      <w:r w:rsidRPr="0093699D">
        <w:rPr>
          <w:rFonts w:ascii="Gill Sans MT" w:hAnsi="Gill Sans MT"/>
          <w:color w:val="FFFFFF" w:themeColor="background1"/>
          <w:lang w:val="en-US"/>
        </w:rPr>
        <w:t xml:space="preserve">proposed on </w:t>
      </w:r>
      <w:r>
        <w:rPr>
          <w:rFonts w:ascii="Gill Sans MT" w:hAnsi="Gill Sans MT"/>
          <w:color w:val="FFFFFF" w:themeColor="background1"/>
          <w:lang w:val="en-US"/>
        </w:rPr>
        <w:t xml:space="preserve">30 October </w:t>
      </w:r>
      <w:r w:rsidRPr="0093699D">
        <w:rPr>
          <w:rFonts w:ascii="Gill Sans MT" w:hAnsi="Gill Sans MT"/>
          <w:color w:val="FFFFFF" w:themeColor="background1"/>
          <w:lang w:val="en-US"/>
        </w:rPr>
        <w:t>202</w:t>
      </w:r>
      <w:r>
        <w:rPr>
          <w:rFonts w:ascii="Gill Sans MT" w:hAnsi="Gill Sans MT"/>
          <w:color w:val="FFFFFF" w:themeColor="background1"/>
          <w:lang w:val="en-US"/>
        </w:rPr>
        <w:t>5</w:t>
      </w:r>
      <w:r w:rsidRPr="0093699D">
        <w:rPr>
          <w:rFonts w:ascii="Gill Sans MT" w:hAnsi="Gill Sans MT"/>
          <w:color w:val="FFFFFF" w:themeColor="background1"/>
          <w:lang w:val="en-US"/>
        </w:rPr>
        <w:t xml:space="preserve"> by </w:t>
      </w:r>
      <w:r>
        <w:rPr>
          <w:rFonts w:ascii="Gill Sans MT" w:hAnsi="Gill Sans MT"/>
          <w:b/>
          <w:bCs/>
          <w:color w:val="FFFFFF" w:themeColor="background1"/>
          <w:lang w:val="en-GB"/>
        </w:rPr>
        <w:t xml:space="preserve">Luca Lionello, Chair of </w:t>
      </w:r>
      <w:r w:rsidRPr="00E065BE">
        <w:rPr>
          <w:rFonts w:ascii="Gill Sans MT" w:hAnsi="Gill Sans MT"/>
          <w:b/>
          <w:bCs/>
          <w:color w:val="FFFFFF" w:themeColor="background1"/>
          <w:lang w:val="en-GB"/>
        </w:rPr>
        <w:t>Political Commission 1 (PC1) - On Federalist Strategy for a Federal Reform of the EU</w:t>
      </w:r>
      <w:r>
        <w:rPr>
          <w:rFonts w:ascii="Gill Sans MT" w:hAnsi="Gill Sans MT"/>
          <w:b/>
          <w:bCs/>
          <w:color w:val="FFFFFF" w:themeColor="background1"/>
          <w:lang w:val="en-GB"/>
        </w:rPr>
        <w:t xml:space="preserve">  </w:t>
      </w:r>
    </w:p>
    <w:bookmarkEnd w:id="0"/>
    <w:p w14:paraId="2586A652" w14:textId="77777777" w:rsidR="00AD45E5" w:rsidRPr="00622AC7" w:rsidRDefault="00AD45E5" w:rsidP="00AD45E5">
      <w:pPr>
        <w:shd w:val="clear" w:color="auto" w:fill="FFFFFF"/>
        <w:spacing w:line="276" w:lineRule="auto"/>
        <w:rPr>
          <w:rFonts w:ascii="Gill Sans MT" w:eastAsia="Times New Roman" w:hAnsi="Gill Sans MT" w:cs="Open Sans"/>
          <w:bCs/>
          <w:lang w:val="en-GB" w:eastAsia="en-GB"/>
        </w:rPr>
      </w:pPr>
    </w:p>
    <w:p w14:paraId="39A7705B" w14:textId="077F37DC" w:rsidR="00AD45E5" w:rsidRPr="00872E39" w:rsidRDefault="00AD45E5" w:rsidP="00AD45E5">
      <w:pPr>
        <w:pStyle w:val="NormaleWeb"/>
        <w:rPr>
          <w:rFonts w:ascii="Gill Sans MT" w:hAnsi="Gill Sans MT" w:cs="Open Sans"/>
          <w:bCs/>
          <w:color w:val="000000"/>
          <w:lang w:val="en-US" w:eastAsia="en-GB"/>
        </w:rPr>
      </w:pPr>
      <w:r w:rsidRPr="00872E39">
        <w:rPr>
          <w:rFonts w:ascii="Gill Sans MT" w:hAnsi="Gill Sans MT" w:cs="Open Sans"/>
          <w:b/>
          <w:bCs/>
          <w:color w:val="000000"/>
          <w:lang w:val="en-US" w:eastAsia="en-GB"/>
        </w:rPr>
        <w:t>The Federal Committee of the Union of European Federalists, convening in B</w:t>
      </w:r>
      <w:r>
        <w:rPr>
          <w:rFonts w:ascii="Gill Sans MT" w:hAnsi="Gill Sans MT" w:cs="Open Sans"/>
          <w:b/>
          <w:bCs/>
          <w:color w:val="000000"/>
          <w:lang w:val="en-US" w:eastAsia="en-GB"/>
        </w:rPr>
        <w:t>russels</w:t>
      </w:r>
      <w:r w:rsidRPr="00872E39">
        <w:rPr>
          <w:rFonts w:ascii="Gill Sans MT" w:hAnsi="Gill Sans MT" w:cs="Open Sans"/>
          <w:b/>
          <w:bCs/>
          <w:color w:val="000000"/>
          <w:lang w:val="en-US" w:eastAsia="en-GB"/>
        </w:rPr>
        <w:t xml:space="preserve">, </w:t>
      </w:r>
      <w:r>
        <w:rPr>
          <w:rFonts w:ascii="Gill Sans MT" w:hAnsi="Gill Sans MT" w:cs="Open Sans"/>
          <w:b/>
          <w:bCs/>
          <w:color w:val="000000"/>
          <w:lang w:val="en-US" w:eastAsia="en-GB"/>
        </w:rPr>
        <w:t>Belgium</w:t>
      </w:r>
      <w:r w:rsidRPr="00872E39">
        <w:rPr>
          <w:rFonts w:ascii="Gill Sans MT" w:hAnsi="Gill Sans MT" w:cs="Open Sans"/>
          <w:b/>
          <w:bCs/>
          <w:color w:val="000000"/>
          <w:lang w:val="en-US" w:eastAsia="en-GB"/>
        </w:rPr>
        <w:t xml:space="preserve">, on </w:t>
      </w:r>
      <w:r>
        <w:rPr>
          <w:rFonts w:ascii="Gill Sans MT" w:hAnsi="Gill Sans MT" w:cs="Open Sans"/>
          <w:b/>
          <w:bCs/>
          <w:color w:val="000000"/>
          <w:lang w:val="en-US" w:eastAsia="en-GB"/>
        </w:rPr>
        <w:t>22-23 November</w:t>
      </w:r>
      <w:r w:rsidRPr="00872E39">
        <w:rPr>
          <w:rFonts w:ascii="Gill Sans MT" w:hAnsi="Gill Sans MT" w:cs="Open Sans"/>
          <w:b/>
          <w:bCs/>
          <w:color w:val="000000"/>
          <w:lang w:val="en-US" w:eastAsia="en-GB"/>
        </w:rPr>
        <w:t xml:space="preserve"> 202</w:t>
      </w:r>
      <w:r>
        <w:rPr>
          <w:rFonts w:ascii="Gill Sans MT" w:hAnsi="Gill Sans MT" w:cs="Open Sans"/>
          <w:b/>
          <w:bCs/>
          <w:color w:val="000000"/>
          <w:lang w:val="en-US" w:eastAsia="en-GB"/>
        </w:rPr>
        <w:t>5</w:t>
      </w:r>
      <w:r w:rsidRPr="00872E39">
        <w:rPr>
          <w:rFonts w:ascii="Gill Sans MT" w:hAnsi="Gill Sans MT" w:cs="Open Sans"/>
          <w:bCs/>
          <w:color w:val="000000"/>
          <w:lang w:val="en-US" w:eastAsia="en-GB"/>
        </w:rPr>
        <w:t>:</w:t>
      </w:r>
    </w:p>
    <w:p w14:paraId="5B4A3841" w14:textId="77777777" w:rsidR="00B96057" w:rsidRPr="00C908C6" w:rsidRDefault="00B96057" w:rsidP="00281497">
      <w:pPr>
        <w:jc w:val="both"/>
        <w:rPr>
          <w:b/>
          <w:bCs/>
          <w:lang w:val="en-US"/>
        </w:rPr>
      </w:pPr>
    </w:p>
    <w:p w14:paraId="4E76CDAF" w14:textId="0C4A9BB0" w:rsidR="00B96057" w:rsidRPr="00C908C6" w:rsidRDefault="00B96057" w:rsidP="00281497">
      <w:p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Having </w:t>
      </w:r>
      <w:proofErr w:type="gramStart"/>
      <w:r w:rsidRPr="00C908C6">
        <w:rPr>
          <w:rFonts w:ascii="Gill Sans MT" w:hAnsi="Gill Sans MT"/>
          <w:lang w:val="en-US"/>
        </w:rPr>
        <w:t>regard</w:t>
      </w:r>
      <w:proofErr w:type="gramEnd"/>
      <w:r w:rsidRPr="00C908C6">
        <w:rPr>
          <w:rFonts w:ascii="Gill Sans MT" w:hAnsi="Gill Sans MT"/>
          <w:lang w:val="en-US"/>
        </w:rPr>
        <w:t xml:space="preserve"> </w:t>
      </w:r>
      <w:proofErr w:type="gramStart"/>
      <w:r w:rsidR="00AD45E5" w:rsidRPr="00C908C6">
        <w:rPr>
          <w:rFonts w:ascii="Gill Sans MT" w:hAnsi="Gill Sans MT"/>
          <w:lang w:val="en-US"/>
        </w:rPr>
        <w:t>of</w:t>
      </w:r>
      <w:proofErr w:type="gramEnd"/>
      <w:r w:rsidR="00AD45E5" w:rsidRPr="00C908C6">
        <w:rPr>
          <w:rFonts w:ascii="Gill Sans MT" w:hAnsi="Gill Sans MT"/>
          <w:lang w:val="en-US"/>
        </w:rPr>
        <w:t>:</w:t>
      </w:r>
    </w:p>
    <w:p w14:paraId="7590093A" w14:textId="77777777" w:rsidR="00B96057" w:rsidRPr="00C908C6" w:rsidRDefault="00B96057" w:rsidP="00281497">
      <w:pPr>
        <w:jc w:val="both"/>
        <w:rPr>
          <w:rFonts w:ascii="Gill Sans MT" w:hAnsi="Gill Sans MT"/>
          <w:lang w:val="en-US"/>
        </w:rPr>
      </w:pPr>
    </w:p>
    <w:p w14:paraId="582685A7" w14:textId="7959A9F7" w:rsidR="00AD45E5" w:rsidRPr="00C908C6" w:rsidRDefault="00AD45E5" w:rsidP="00AD45E5">
      <w:pPr>
        <w:pStyle w:val="Paragrafoelenco"/>
        <w:numPr>
          <w:ilvl w:val="0"/>
          <w:numId w:val="12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the Memorandum on a European </w:t>
      </w:r>
      <w:proofErr w:type="spellStart"/>
      <w:r w:rsidRPr="00C908C6">
        <w:rPr>
          <w:rFonts w:ascii="Gill Sans MT" w:hAnsi="Gill Sans MT"/>
          <w:lang w:val="en-US"/>
        </w:rPr>
        <w:t>Defence</w:t>
      </w:r>
      <w:proofErr w:type="spellEnd"/>
      <w:r w:rsidRPr="00C908C6">
        <w:rPr>
          <w:rFonts w:ascii="Gill Sans MT" w:hAnsi="Gill Sans MT"/>
          <w:lang w:val="en-US"/>
        </w:rPr>
        <w:t xml:space="preserve"> Union issued by the new Action Committee for United States of </w:t>
      </w:r>
      <w:proofErr w:type="gramStart"/>
      <w:r w:rsidRPr="00C908C6">
        <w:rPr>
          <w:rFonts w:ascii="Gill Sans MT" w:hAnsi="Gill Sans MT"/>
          <w:lang w:val="en-US"/>
        </w:rPr>
        <w:t>Europe;</w:t>
      </w:r>
      <w:proofErr w:type="gramEnd"/>
    </w:p>
    <w:p w14:paraId="33511DEB" w14:textId="3FFFECA6" w:rsidR="00AD45E5" w:rsidRPr="00C908C6" w:rsidRDefault="00AD45E5" w:rsidP="00C908C6">
      <w:pPr>
        <w:pStyle w:val="Paragrafoelenco"/>
        <w:numPr>
          <w:ilvl w:val="0"/>
          <w:numId w:val="12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the so-called “Second Schuman declaration” issued in 2025 by the new Action committee for United States of </w:t>
      </w:r>
      <w:proofErr w:type="gramStart"/>
      <w:r w:rsidRPr="00C908C6">
        <w:rPr>
          <w:rFonts w:ascii="Gill Sans MT" w:hAnsi="Gill Sans MT"/>
          <w:lang w:val="en-US"/>
        </w:rPr>
        <w:t>Europe;</w:t>
      </w:r>
      <w:proofErr w:type="gramEnd"/>
    </w:p>
    <w:p w14:paraId="73F26DE9" w14:textId="47212D46" w:rsidR="00B96057" w:rsidRPr="00C908C6" w:rsidRDefault="00AD45E5" w:rsidP="00C908C6">
      <w:pPr>
        <w:pStyle w:val="Paragrafoelenco"/>
        <w:numPr>
          <w:ilvl w:val="0"/>
          <w:numId w:val="11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The </w:t>
      </w:r>
      <w:hyperlink r:id="rId8" w:history="1">
        <w:r w:rsidRPr="00C908C6">
          <w:rPr>
            <w:rStyle w:val="Collegamentoipertestuale"/>
            <w:rFonts w:ascii="Gill Sans MT" w:hAnsi="Gill Sans MT"/>
            <w:lang w:val="en-US"/>
          </w:rPr>
          <w:t>declaration of the Action committee for United States of Europe</w:t>
        </w:r>
        <w:r w:rsidRPr="00C908C6" w:rsidDel="00AD45E5">
          <w:rPr>
            <w:rStyle w:val="Collegamentoipertestuale"/>
            <w:rFonts w:ascii="Gill Sans MT" w:hAnsi="Gill Sans MT"/>
            <w:lang w:val="en-US"/>
          </w:rPr>
          <w:t xml:space="preserve"> </w:t>
        </w:r>
        <w:r w:rsidR="00B96057" w:rsidRPr="00C908C6">
          <w:rPr>
            <w:rStyle w:val="Collegamentoipertestuale"/>
            <w:rFonts w:ascii="Gill Sans MT" w:hAnsi="Gill Sans MT"/>
            <w:lang w:val="en-US"/>
          </w:rPr>
          <w:t xml:space="preserve"> of 18.10.20</w:t>
        </w:r>
        <w:r w:rsidRPr="00C908C6">
          <w:rPr>
            <w:rStyle w:val="Collegamentoipertestuale"/>
            <w:rFonts w:ascii="Gill Sans MT" w:hAnsi="Gill Sans MT"/>
            <w:lang w:val="en-US"/>
          </w:rPr>
          <w:t>2</w:t>
        </w:r>
        <w:r w:rsidR="00B96057" w:rsidRPr="00C908C6">
          <w:rPr>
            <w:rStyle w:val="Collegamentoipertestuale"/>
            <w:rFonts w:ascii="Gill Sans MT" w:hAnsi="Gill Sans MT"/>
            <w:lang w:val="en-US"/>
          </w:rPr>
          <w:t>5</w:t>
        </w:r>
      </w:hyperlink>
    </w:p>
    <w:p w14:paraId="1294EE62" w14:textId="77777777" w:rsidR="00887D2D" w:rsidRPr="00C908C6" w:rsidRDefault="00887D2D" w:rsidP="00281497">
      <w:pPr>
        <w:jc w:val="both"/>
        <w:rPr>
          <w:rFonts w:ascii="Gill Sans MT" w:hAnsi="Gill Sans MT"/>
          <w:lang w:val="en-US"/>
        </w:rPr>
      </w:pPr>
    </w:p>
    <w:p w14:paraId="1C505F39" w14:textId="77777777" w:rsidR="00281497" w:rsidRPr="00C908C6" w:rsidRDefault="00281497" w:rsidP="00281497">
      <w:pPr>
        <w:jc w:val="both"/>
        <w:rPr>
          <w:rFonts w:ascii="Gill Sans MT" w:hAnsi="Gill Sans MT"/>
        </w:rPr>
      </w:pPr>
      <w:proofErr w:type="spellStart"/>
      <w:r w:rsidRPr="00C908C6">
        <w:rPr>
          <w:rFonts w:ascii="Gill Sans MT" w:hAnsi="Gill Sans MT"/>
        </w:rPr>
        <w:t>Aware</w:t>
      </w:r>
      <w:proofErr w:type="spellEnd"/>
      <w:r w:rsidRPr="00C908C6">
        <w:rPr>
          <w:rFonts w:ascii="Gill Sans MT" w:hAnsi="Gill Sans MT"/>
        </w:rPr>
        <w:t xml:space="preserve"> </w:t>
      </w:r>
      <w:proofErr w:type="spellStart"/>
      <w:r w:rsidRPr="00C908C6">
        <w:rPr>
          <w:rFonts w:ascii="Gill Sans MT" w:hAnsi="Gill Sans MT"/>
        </w:rPr>
        <w:t>that</w:t>
      </w:r>
      <w:proofErr w:type="spellEnd"/>
      <w:r w:rsidRPr="00C908C6">
        <w:rPr>
          <w:rFonts w:ascii="Gill Sans MT" w:hAnsi="Gill Sans MT"/>
        </w:rPr>
        <w:t>:</w:t>
      </w:r>
    </w:p>
    <w:p w14:paraId="798276BA" w14:textId="40CAEB5F" w:rsidR="00887D2D" w:rsidRPr="00C908C6" w:rsidRDefault="00281497" w:rsidP="00887D2D">
      <w:pPr>
        <w:numPr>
          <w:ilvl w:val="0"/>
          <w:numId w:val="3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In a world increasingly driven by the logic of force and competition among major continental powers, the European Union remains trapped in paralysis.</w:t>
      </w:r>
    </w:p>
    <w:p w14:paraId="0BBB740F" w14:textId="3DF40F5C" w:rsidR="00281497" w:rsidRPr="00C908C6" w:rsidRDefault="00281497" w:rsidP="00281497">
      <w:pPr>
        <w:numPr>
          <w:ilvl w:val="0"/>
          <w:numId w:val="3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The most immediate threat</w:t>
      </w:r>
      <w:r w:rsidR="00887D2D" w:rsidRPr="00C908C6">
        <w:rPr>
          <w:rFonts w:ascii="Gill Sans MT" w:hAnsi="Gill Sans MT"/>
          <w:lang w:val="en-US"/>
        </w:rPr>
        <w:t xml:space="preserve"> to European security</w:t>
      </w:r>
      <w:r w:rsidRPr="00C908C6">
        <w:rPr>
          <w:rFonts w:ascii="Gill Sans MT" w:hAnsi="Gill Sans MT"/>
          <w:lang w:val="en-US"/>
        </w:rPr>
        <w:t xml:space="preserve"> comes from Russia.</w:t>
      </w:r>
      <w:r w:rsidRPr="00C908C6">
        <w:rPr>
          <w:rFonts w:ascii="Gill Sans MT" w:hAnsi="Gill Sans MT"/>
          <w:lang w:val="en-US"/>
        </w:rPr>
        <w:br/>
        <w:t>Attacks on Ukraine continue to intensify, with no genuine sign of a ceasefire from Moscow</w:t>
      </w:r>
      <w:r w:rsidR="00887D2D" w:rsidRPr="00C908C6">
        <w:rPr>
          <w:rFonts w:ascii="Gill Sans MT" w:hAnsi="Gill Sans MT"/>
          <w:lang w:val="en-US"/>
        </w:rPr>
        <w:t>.</w:t>
      </w:r>
      <w:r w:rsidRPr="00C908C6">
        <w:rPr>
          <w:rFonts w:ascii="Gill Sans MT" w:hAnsi="Gill Sans MT"/>
          <w:lang w:val="en-US"/>
        </w:rPr>
        <w:t xml:space="preserve"> On the contrary, the Kremlin has expanded the conflict onto EU territory through a hybrid war of cyberattacks, disinformation, and repeated drone incursions.</w:t>
      </w:r>
    </w:p>
    <w:p w14:paraId="58AC93F9" w14:textId="75116084" w:rsidR="00887D2D" w:rsidRPr="00C908C6" w:rsidRDefault="00887D2D" w:rsidP="00281497">
      <w:pPr>
        <w:numPr>
          <w:ilvl w:val="0"/>
          <w:numId w:val="3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The collapse of Ukrainian resistance would open the way to new expansionist ambitions by the Kremlin, directed toward Moldova and the Baltic States, with potentially devastating consequences for European security.</w:t>
      </w:r>
    </w:p>
    <w:p w14:paraId="316020F7" w14:textId="476E3D70" w:rsidR="00281497" w:rsidRPr="00C908C6" w:rsidRDefault="00281497" w:rsidP="00281497">
      <w:pPr>
        <w:numPr>
          <w:ilvl w:val="0"/>
          <w:numId w:val="3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Despite recent efforts to develop a common industrial policy for </w:t>
      </w:r>
      <w:proofErr w:type="spellStart"/>
      <w:r w:rsidRPr="00C908C6">
        <w:rPr>
          <w:rFonts w:ascii="Gill Sans MT" w:hAnsi="Gill Sans MT"/>
          <w:lang w:val="en-US"/>
        </w:rPr>
        <w:t>defence</w:t>
      </w:r>
      <w:proofErr w:type="spellEnd"/>
      <w:r w:rsidRPr="00C908C6">
        <w:rPr>
          <w:rFonts w:ascii="Gill Sans MT" w:hAnsi="Gill Sans MT"/>
          <w:lang w:val="en-US"/>
        </w:rPr>
        <w:t xml:space="preserve">, the Member States remain reluctant to take decisive steps toward a European </w:t>
      </w:r>
      <w:proofErr w:type="spellStart"/>
      <w:r w:rsidRPr="00C908C6">
        <w:rPr>
          <w:rFonts w:ascii="Gill Sans MT" w:hAnsi="Gill Sans MT"/>
          <w:lang w:val="en-US"/>
        </w:rPr>
        <w:t>Defence</w:t>
      </w:r>
      <w:proofErr w:type="spellEnd"/>
      <w:r w:rsidRPr="00C908C6">
        <w:rPr>
          <w:rFonts w:ascii="Gill Sans MT" w:hAnsi="Gill Sans MT"/>
          <w:lang w:val="en-US"/>
        </w:rPr>
        <w:t xml:space="preserve"> Union.</w:t>
      </w:r>
      <w:r w:rsidRPr="00C908C6">
        <w:rPr>
          <w:rFonts w:ascii="Gill Sans MT" w:hAnsi="Gill Sans MT"/>
          <w:lang w:val="en-US"/>
        </w:rPr>
        <w:br/>
        <w:t xml:space="preserve">This paralysis is compounded by </w:t>
      </w:r>
      <w:r w:rsidR="00887D2D" w:rsidRPr="00C908C6">
        <w:rPr>
          <w:rFonts w:ascii="Gill Sans MT" w:hAnsi="Gill Sans MT"/>
          <w:lang w:val="en-US"/>
        </w:rPr>
        <w:t xml:space="preserve">the </w:t>
      </w:r>
      <w:r w:rsidRPr="00C908C6">
        <w:rPr>
          <w:rFonts w:ascii="Gill Sans MT" w:hAnsi="Gill Sans MT"/>
          <w:lang w:val="en-US"/>
        </w:rPr>
        <w:t>limited resources</w:t>
      </w:r>
      <w:r w:rsidR="00887D2D" w:rsidRPr="00C908C6">
        <w:rPr>
          <w:rFonts w:ascii="Gill Sans MT" w:hAnsi="Gill Sans MT"/>
          <w:lang w:val="en-US"/>
        </w:rPr>
        <w:t xml:space="preserve"> of</w:t>
      </w:r>
      <w:r w:rsidRPr="00C908C6">
        <w:rPr>
          <w:rFonts w:ascii="Gill Sans MT" w:hAnsi="Gill Sans MT"/>
          <w:lang w:val="en-US"/>
        </w:rPr>
        <w:t xml:space="preserve"> the EU budget, </w:t>
      </w:r>
      <w:r w:rsidR="00887D2D" w:rsidRPr="00C908C6">
        <w:rPr>
          <w:rFonts w:ascii="Gill Sans MT" w:hAnsi="Gill Sans MT"/>
          <w:lang w:val="en-US"/>
        </w:rPr>
        <w:t xml:space="preserve">which can't </w:t>
      </w:r>
      <w:r w:rsidRPr="00C908C6">
        <w:rPr>
          <w:rFonts w:ascii="Gill Sans MT" w:hAnsi="Gill Sans MT"/>
          <w:lang w:val="en-US"/>
        </w:rPr>
        <w:t>sustain a</w:t>
      </w:r>
      <w:r w:rsidR="00887D2D" w:rsidRPr="00C908C6">
        <w:rPr>
          <w:rFonts w:ascii="Gill Sans MT" w:hAnsi="Gill Sans MT"/>
          <w:lang w:val="en-US"/>
        </w:rPr>
        <w:t>ny</w:t>
      </w:r>
      <w:r w:rsidRPr="00C908C6">
        <w:rPr>
          <w:rFonts w:ascii="Gill Sans MT" w:hAnsi="Gill Sans MT"/>
          <w:lang w:val="en-US"/>
        </w:rPr>
        <w:t xml:space="preserve"> credible </w:t>
      </w:r>
      <w:r w:rsidR="00887D2D" w:rsidRPr="00C908C6">
        <w:rPr>
          <w:rFonts w:ascii="Gill Sans MT" w:hAnsi="Gill Sans MT"/>
          <w:lang w:val="en-US"/>
        </w:rPr>
        <w:t>initiative in the</w:t>
      </w:r>
      <w:r w:rsidRPr="00C908C6">
        <w:rPr>
          <w:rFonts w:ascii="Gill Sans MT" w:hAnsi="Gill Sans MT"/>
          <w:lang w:val="en-US"/>
        </w:rPr>
        <w:t xml:space="preserve"> </w:t>
      </w:r>
      <w:proofErr w:type="spellStart"/>
      <w:r w:rsidRPr="00C908C6">
        <w:rPr>
          <w:rFonts w:ascii="Gill Sans MT" w:hAnsi="Gill Sans MT"/>
          <w:lang w:val="en-US"/>
        </w:rPr>
        <w:t>defence</w:t>
      </w:r>
      <w:proofErr w:type="spellEnd"/>
      <w:r w:rsidRPr="00C908C6">
        <w:rPr>
          <w:rFonts w:ascii="Gill Sans MT" w:hAnsi="Gill Sans MT"/>
          <w:lang w:val="en-US"/>
        </w:rPr>
        <w:t xml:space="preserve"> </w:t>
      </w:r>
      <w:r w:rsidR="00887D2D" w:rsidRPr="00C908C6">
        <w:rPr>
          <w:rFonts w:ascii="Gill Sans MT" w:hAnsi="Gill Sans MT"/>
          <w:lang w:val="en-US"/>
        </w:rPr>
        <w:t>sector</w:t>
      </w:r>
      <w:r w:rsidRPr="00C908C6">
        <w:rPr>
          <w:rFonts w:ascii="Gill Sans MT" w:hAnsi="Gill Sans MT"/>
          <w:lang w:val="en-US"/>
        </w:rPr>
        <w:t xml:space="preserve">. </w:t>
      </w:r>
      <w:r w:rsidR="00887D2D" w:rsidRPr="00C908C6">
        <w:rPr>
          <w:rFonts w:ascii="Gill Sans MT" w:hAnsi="Gill Sans MT"/>
          <w:lang w:val="en-US"/>
        </w:rPr>
        <w:t>In this situation only</w:t>
      </w:r>
      <w:r w:rsidRPr="00C908C6">
        <w:rPr>
          <w:rFonts w:ascii="Gill Sans MT" w:hAnsi="Gill Sans MT"/>
          <w:lang w:val="en-US"/>
        </w:rPr>
        <w:t xml:space="preserve"> the wealthiest Member States can rearm, deepening disparities and weakening political cohesion.</w:t>
      </w:r>
    </w:p>
    <w:p w14:paraId="075AA3A1" w14:textId="77777777" w:rsidR="00887D2D" w:rsidRPr="00C908C6" w:rsidRDefault="00887D2D" w:rsidP="00887D2D">
      <w:pPr>
        <w:numPr>
          <w:ilvl w:val="0"/>
          <w:numId w:val="3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The Letta, Draghi and Niinistö reports have outlined the reforms needed to enhance competitiveness, exploit the full potential of the EU’s internal market, and ensure security against emerging threats.</w:t>
      </w:r>
    </w:p>
    <w:p w14:paraId="1A3FD167" w14:textId="1075977D" w:rsidR="00281497" w:rsidRPr="00C908C6" w:rsidRDefault="00281497" w:rsidP="00281497">
      <w:pPr>
        <w:jc w:val="both"/>
        <w:rPr>
          <w:rFonts w:ascii="Gill Sans MT" w:hAnsi="Gill Sans MT"/>
          <w:lang w:val="en-US"/>
        </w:rPr>
      </w:pPr>
    </w:p>
    <w:p w14:paraId="4788F8BD" w14:textId="762DBC40" w:rsidR="00887D2D" w:rsidRPr="00C908C6" w:rsidRDefault="00281497" w:rsidP="00887D2D">
      <w:p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Concerned that</w:t>
      </w:r>
      <w:r w:rsidR="00887D2D" w:rsidRPr="00C908C6">
        <w:rPr>
          <w:rFonts w:ascii="Gill Sans MT" w:hAnsi="Gill Sans MT"/>
          <w:lang w:val="en-US"/>
        </w:rPr>
        <w:t xml:space="preserve"> t</w:t>
      </w:r>
      <w:r w:rsidRPr="00C908C6">
        <w:rPr>
          <w:rFonts w:ascii="Gill Sans MT" w:hAnsi="Gill Sans MT"/>
          <w:lang w:val="en-US"/>
        </w:rPr>
        <w:t>he draft M</w:t>
      </w:r>
      <w:r w:rsidR="00887D2D" w:rsidRPr="00C908C6">
        <w:rPr>
          <w:rFonts w:ascii="Gill Sans MT" w:hAnsi="Gill Sans MT"/>
          <w:lang w:val="en-US"/>
        </w:rPr>
        <w:t xml:space="preserve">ultiannual </w:t>
      </w:r>
      <w:r w:rsidRPr="00C908C6">
        <w:rPr>
          <w:rFonts w:ascii="Gill Sans MT" w:hAnsi="Gill Sans MT"/>
          <w:lang w:val="en-US"/>
        </w:rPr>
        <w:t>F</w:t>
      </w:r>
      <w:r w:rsidR="00887D2D" w:rsidRPr="00C908C6">
        <w:rPr>
          <w:rFonts w:ascii="Gill Sans MT" w:hAnsi="Gill Sans MT"/>
          <w:lang w:val="en-US"/>
        </w:rPr>
        <w:t xml:space="preserve">inancial </w:t>
      </w:r>
      <w:r w:rsidRPr="00C908C6">
        <w:rPr>
          <w:rFonts w:ascii="Gill Sans MT" w:hAnsi="Gill Sans MT"/>
          <w:lang w:val="en-US"/>
        </w:rPr>
        <w:t>F</w:t>
      </w:r>
      <w:r w:rsidR="00887D2D" w:rsidRPr="00C908C6">
        <w:rPr>
          <w:rFonts w:ascii="Gill Sans MT" w:hAnsi="Gill Sans MT"/>
          <w:lang w:val="en-US"/>
        </w:rPr>
        <w:t>ramework</w:t>
      </w:r>
      <w:r w:rsidRPr="00C908C6">
        <w:rPr>
          <w:rFonts w:ascii="Gill Sans MT" w:hAnsi="Gill Sans MT"/>
          <w:lang w:val="en-US"/>
        </w:rPr>
        <w:t xml:space="preserve"> 2028–2034 proposed by the European Commission in July 2025</w:t>
      </w:r>
    </w:p>
    <w:p w14:paraId="3A0A5F23" w14:textId="5D12B185" w:rsidR="00887D2D" w:rsidRPr="00C908C6" w:rsidRDefault="00887D2D" w:rsidP="00887D2D">
      <w:pPr>
        <w:numPr>
          <w:ilvl w:val="0"/>
          <w:numId w:val="4"/>
        </w:numPr>
        <w:jc w:val="both"/>
        <w:rPr>
          <w:rFonts w:ascii="Gill Sans MT" w:hAnsi="Gill Sans MT"/>
          <w:b/>
          <w:bCs/>
          <w:lang w:val="en-US"/>
        </w:rPr>
      </w:pPr>
      <w:r w:rsidRPr="00C908C6">
        <w:rPr>
          <w:rStyle w:val="Enfasigrassetto"/>
          <w:rFonts w:ascii="Gill Sans MT" w:hAnsi="Gill Sans MT"/>
          <w:b w:val="0"/>
          <w:bCs w:val="0"/>
          <w:lang w:val="en-US"/>
        </w:rPr>
        <w:t>fails to provide any significant increase in resources</w:t>
      </w:r>
      <w:r w:rsidRPr="00C908C6">
        <w:rPr>
          <w:rFonts w:ascii="Gill Sans MT" w:hAnsi="Gill Sans MT"/>
          <w:b/>
          <w:bCs/>
          <w:lang w:val="en-US"/>
        </w:rPr>
        <w:t xml:space="preserve">, </w:t>
      </w:r>
      <w:r w:rsidRPr="00C908C6">
        <w:rPr>
          <w:rFonts w:ascii="Gill Sans MT" w:hAnsi="Gill Sans MT"/>
          <w:lang w:val="en-US"/>
        </w:rPr>
        <w:t>despite the clear necessity to address the challenges identified in the</w:t>
      </w:r>
      <w:r w:rsidRPr="00C908C6">
        <w:rPr>
          <w:rFonts w:ascii="Gill Sans MT" w:hAnsi="Gill Sans MT"/>
          <w:b/>
          <w:bCs/>
          <w:lang w:val="en-US"/>
        </w:rPr>
        <w:t xml:space="preserve"> </w:t>
      </w:r>
      <w:r w:rsidRPr="00C908C6">
        <w:rPr>
          <w:rStyle w:val="Enfasigrassetto"/>
          <w:rFonts w:ascii="Gill Sans MT" w:hAnsi="Gill Sans MT"/>
          <w:b w:val="0"/>
          <w:bCs w:val="0"/>
          <w:lang w:val="en-US"/>
        </w:rPr>
        <w:t>Draghi, Letta and Niinistö reports</w:t>
      </w:r>
      <w:r w:rsidRPr="00C908C6">
        <w:rPr>
          <w:rFonts w:ascii="Gill Sans MT" w:hAnsi="Gill Sans MT"/>
          <w:b/>
          <w:bCs/>
          <w:lang w:val="en-US"/>
        </w:rPr>
        <w:t>.</w:t>
      </w:r>
    </w:p>
    <w:p w14:paraId="42D36A16" w14:textId="700A2332" w:rsidR="00281497" w:rsidRPr="00C908C6" w:rsidRDefault="00887D2D" w:rsidP="00887D2D">
      <w:pPr>
        <w:numPr>
          <w:ilvl w:val="0"/>
          <w:numId w:val="4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Ri</w:t>
      </w:r>
      <w:r w:rsidR="00281497" w:rsidRPr="00C908C6">
        <w:rPr>
          <w:rFonts w:ascii="Gill Sans MT" w:hAnsi="Gill Sans MT"/>
          <w:lang w:val="en-US"/>
        </w:rPr>
        <w:t xml:space="preserve">sks </w:t>
      </w:r>
      <w:proofErr w:type="spellStart"/>
      <w:r w:rsidR="00281497" w:rsidRPr="00C908C6">
        <w:rPr>
          <w:rFonts w:ascii="Gill Sans MT" w:hAnsi="Gill Sans MT"/>
          <w:lang w:val="en-US"/>
        </w:rPr>
        <w:t>renationalising</w:t>
      </w:r>
      <w:proofErr w:type="spellEnd"/>
      <w:r w:rsidR="00281497" w:rsidRPr="00C908C6">
        <w:rPr>
          <w:rFonts w:ascii="Gill Sans MT" w:hAnsi="Gill Sans MT"/>
          <w:lang w:val="en-US"/>
        </w:rPr>
        <w:t xml:space="preserve"> Cohesion Policy, undermining shared management and EU territorial development.</w:t>
      </w:r>
    </w:p>
    <w:p w14:paraId="4399B58B" w14:textId="77777777" w:rsidR="00281497" w:rsidRPr="00C908C6" w:rsidRDefault="00281497" w:rsidP="00887D2D">
      <w:pPr>
        <w:numPr>
          <w:ilvl w:val="0"/>
          <w:numId w:val="4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Downgrades the EU’s territorial and cohesion mission.</w:t>
      </w:r>
    </w:p>
    <w:p w14:paraId="7AD67061" w14:textId="77777777" w:rsidR="00281497" w:rsidRPr="00C908C6" w:rsidRDefault="00281497" w:rsidP="00887D2D">
      <w:pPr>
        <w:numPr>
          <w:ilvl w:val="0"/>
          <w:numId w:val="4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Lacks adequate anchoring of EU own resources (Article 311 TFEU).</w:t>
      </w:r>
    </w:p>
    <w:p w14:paraId="0FA2461B" w14:textId="77777777" w:rsidR="00281497" w:rsidRPr="00C908C6" w:rsidRDefault="00281497" w:rsidP="00887D2D">
      <w:pPr>
        <w:numPr>
          <w:ilvl w:val="0"/>
          <w:numId w:val="4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Underfunds key European public goods, including </w:t>
      </w:r>
      <w:proofErr w:type="spellStart"/>
      <w:r w:rsidRPr="00C908C6">
        <w:rPr>
          <w:rFonts w:ascii="Gill Sans MT" w:hAnsi="Gill Sans MT"/>
          <w:lang w:val="en-US"/>
        </w:rPr>
        <w:t>defence</w:t>
      </w:r>
      <w:proofErr w:type="spellEnd"/>
      <w:r w:rsidRPr="00C908C6">
        <w:rPr>
          <w:rFonts w:ascii="Gill Sans MT" w:hAnsi="Gill Sans MT"/>
          <w:lang w:val="en-US"/>
        </w:rPr>
        <w:t>, competitiveness, and critical technologies.</w:t>
      </w:r>
    </w:p>
    <w:p w14:paraId="5F683FDD" w14:textId="46943177" w:rsidR="00281497" w:rsidRPr="00C908C6" w:rsidRDefault="00281497" w:rsidP="00281497">
      <w:pPr>
        <w:jc w:val="both"/>
        <w:rPr>
          <w:rFonts w:ascii="Gill Sans MT" w:hAnsi="Gill Sans MT"/>
          <w:lang w:val="en-US"/>
        </w:rPr>
      </w:pPr>
    </w:p>
    <w:p w14:paraId="3D66FB1E" w14:textId="77777777" w:rsidR="00281497" w:rsidRPr="00C908C6" w:rsidRDefault="00281497" w:rsidP="00281497">
      <w:pPr>
        <w:jc w:val="both"/>
        <w:rPr>
          <w:rFonts w:ascii="Gill Sans MT" w:hAnsi="Gill Sans MT"/>
        </w:rPr>
      </w:pPr>
      <w:proofErr w:type="spellStart"/>
      <w:r w:rsidRPr="00C908C6">
        <w:rPr>
          <w:rFonts w:ascii="Gill Sans MT" w:hAnsi="Gill Sans MT"/>
        </w:rPr>
        <w:lastRenderedPageBreak/>
        <w:t>Recalling</w:t>
      </w:r>
      <w:proofErr w:type="spellEnd"/>
      <w:r w:rsidRPr="00C908C6">
        <w:rPr>
          <w:rFonts w:ascii="Gill Sans MT" w:hAnsi="Gill Sans MT"/>
        </w:rPr>
        <w:t xml:space="preserve"> </w:t>
      </w:r>
      <w:proofErr w:type="spellStart"/>
      <w:r w:rsidRPr="00C908C6">
        <w:rPr>
          <w:rFonts w:ascii="Gill Sans MT" w:hAnsi="Gill Sans MT"/>
        </w:rPr>
        <w:t>that</w:t>
      </w:r>
      <w:proofErr w:type="spellEnd"/>
      <w:r w:rsidRPr="00C908C6">
        <w:rPr>
          <w:rFonts w:ascii="Gill Sans MT" w:hAnsi="Gill Sans MT"/>
        </w:rPr>
        <w:t>:</w:t>
      </w:r>
    </w:p>
    <w:p w14:paraId="32BC9513" w14:textId="77777777" w:rsidR="00281497" w:rsidRPr="00C908C6" w:rsidRDefault="00281497" w:rsidP="00281497">
      <w:pPr>
        <w:numPr>
          <w:ilvl w:val="0"/>
          <w:numId w:val="5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While public opinion and many observers call for a qualitative leap in European integration, national governments remain unwilling to invest political capital in relaunching the European project.</w:t>
      </w:r>
    </w:p>
    <w:p w14:paraId="25BE4E63" w14:textId="745E0EF3" w:rsidR="00281497" w:rsidRPr="00C908C6" w:rsidRDefault="00281497" w:rsidP="00281497">
      <w:pPr>
        <w:numPr>
          <w:ilvl w:val="0"/>
          <w:numId w:val="5"/>
        </w:numPr>
        <w:tabs>
          <w:tab w:val="num" w:pos="1440"/>
        </w:tabs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The European Parliament’s resolution of 22 November 2023 proposed Treaty amendments under Article 48(2) TEU to Overcome unanimity requirements and Strengthen the Union’s competences and financing </w:t>
      </w:r>
      <w:proofErr w:type="spellStart"/>
      <w:r w:rsidRPr="00C908C6">
        <w:rPr>
          <w:rFonts w:ascii="Gill Sans MT" w:hAnsi="Gill Sans MT"/>
          <w:lang w:val="en-US"/>
        </w:rPr>
        <w:t>frame</w:t>
      </w:r>
      <w:r w:rsidR="00B96057" w:rsidRPr="00C908C6">
        <w:rPr>
          <w:rFonts w:ascii="Gill Sans MT" w:hAnsi="Gill Sans MT"/>
          <w:lang w:val="en-US"/>
        </w:rPr>
        <w:t>H</w:t>
      </w:r>
      <w:r w:rsidRPr="00C908C6">
        <w:rPr>
          <w:rFonts w:ascii="Gill Sans MT" w:hAnsi="Gill Sans MT"/>
          <w:lang w:val="en-US"/>
        </w:rPr>
        <w:t>work</w:t>
      </w:r>
      <w:proofErr w:type="spellEnd"/>
      <w:r w:rsidRPr="00C908C6">
        <w:rPr>
          <w:rFonts w:ascii="Gill Sans MT" w:hAnsi="Gill Sans MT"/>
          <w:lang w:val="en-US"/>
        </w:rPr>
        <w:t>.</w:t>
      </w:r>
    </w:p>
    <w:p w14:paraId="6BC02752" w14:textId="45BA02B2" w:rsidR="00281497" w:rsidRPr="00C908C6" w:rsidRDefault="00281497" w:rsidP="00281497">
      <w:pPr>
        <w:numPr>
          <w:ilvl w:val="0"/>
          <w:numId w:val="5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On 10 October 2025, the European Parliament approved by a large majority a resolution calling for</w:t>
      </w:r>
      <w:r w:rsidR="00887D2D" w:rsidRPr="00C908C6">
        <w:rPr>
          <w:rFonts w:ascii="Gill Sans MT" w:hAnsi="Gill Sans MT"/>
          <w:lang w:val="en-US"/>
        </w:rPr>
        <w:t xml:space="preserve"> a</w:t>
      </w:r>
      <w:r w:rsidRPr="00C908C6">
        <w:rPr>
          <w:rFonts w:ascii="Gill Sans MT" w:hAnsi="Gill Sans MT"/>
          <w:lang w:val="en-US"/>
        </w:rPr>
        <w:t xml:space="preserve"> united response to Russian violations of European airspace</w:t>
      </w:r>
      <w:r w:rsidR="00887D2D" w:rsidRPr="00C908C6">
        <w:rPr>
          <w:rFonts w:ascii="Gill Sans MT" w:hAnsi="Gill Sans MT"/>
          <w:lang w:val="en-US"/>
        </w:rPr>
        <w:t xml:space="preserve"> and the</w:t>
      </w:r>
      <w:r w:rsidRPr="00C908C6">
        <w:rPr>
          <w:rFonts w:ascii="Gill Sans MT" w:hAnsi="Gill Sans MT"/>
          <w:lang w:val="en-US"/>
        </w:rPr>
        <w:t xml:space="preserve"> creation of a European </w:t>
      </w:r>
      <w:proofErr w:type="spellStart"/>
      <w:r w:rsidRPr="00C908C6">
        <w:rPr>
          <w:rFonts w:ascii="Gill Sans MT" w:hAnsi="Gill Sans MT"/>
          <w:lang w:val="en-US"/>
        </w:rPr>
        <w:t>Defence</w:t>
      </w:r>
      <w:proofErr w:type="spellEnd"/>
      <w:r w:rsidRPr="00C908C6">
        <w:rPr>
          <w:rFonts w:ascii="Gill Sans MT" w:hAnsi="Gill Sans MT"/>
          <w:lang w:val="en-US"/>
        </w:rPr>
        <w:t xml:space="preserve"> Union based on shared command, logistics, and intelligence</w:t>
      </w:r>
      <w:r w:rsidR="00A108BB" w:rsidRPr="00C908C6">
        <w:rPr>
          <w:rFonts w:ascii="Gill Sans MT" w:hAnsi="Gill Sans MT"/>
          <w:lang w:val="en-US"/>
        </w:rPr>
        <w:t>.</w:t>
      </w:r>
    </w:p>
    <w:p w14:paraId="54C318C5" w14:textId="27A2E4C4" w:rsidR="00A108BB" w:rsidRPr="00C908C6" w:rsidRDefault="00A108BB" w:rsidP="00281497">
      <w:pPr>
        <w:numPr>
          <w:ilvl w:val="0"/>
          <w:numId w:val="5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On... 2025, the European Parliament adopted a resolution on the Institutional Consequences of the EU Enlargement Negotiations (rapporteur: S. Gozi), calling for significant Treaty changes in view of the future accession of new Member States.</w:t>
      </w:r>
    </w:p>
    <w:p w14:paraId="62E3181A" w14:textId="77777777" w:rsidR="00AD45E5" w:rsidRPr="00C908C6" w:rsidRDefault="00AD45E5" w:rsidP="00C908C6">
      <w:pPr>
        <w:jc w:val="both"/>
        <w:rPr>
          <w:rFonts w:ascii="Gill Sans MT" w:hAnsi="Gill Sans MT"/>
          <w:lang w:val="en-US"/>
        </w:rPr>
      </w:pPr>
    </w:p>
    <w:p w14:paraId="45B16734" w14:textId="77777777" w:rsidR="00281497" w:rsidRPr="00C908C6" w:rsidRDefault="00281497" w:rsidP="00281497">
      <w:pPr>
        <w:jc w:val="both"/>
        <w:rPr>
          <w:rFonts w:ascii="Gill Sans MT" w:hAnsi="Gill Sans MT"/>
        </w:rPr>
      </w:pPr>
      <w:r w:rsidRPr="00C908C6">
        <w:rPr>
          <w:rFonts w:ascii="Gill Sans MT" w:hAnsi="Gill Sans MT"/>
        </w:rPr>
        <w:t xml:space="preserve">Stresses </w:t>
      </w:r>
      <w:proofErr w:type="spellStart"/>
      <w:r w:rsidRPr="00C908C6">
        <w:rPr>
          <w:rFonts w:ascii="Gill Sans MT" w:hAnsi="Gill Sans MT"/>
        </w:rPr>
        <w:t>that</w:t>
      </w:r>
      <w:proofErr w:type="spellEnd"/>
      <w:r w:rsidRPr="00C908C6">
        <w:rPr>
          <w:rFonts w:ascii="Gill Sans MT" w:hAnsi="Gill Sans MT"/>
        </w:rPr>
        <w:t>:</w:t>
      </w:r>
    </w:p>
    <w:p w14:paraId="41D11DD1" w14:textId="77777777" w:rsidR="00281497" w:rsidRPr="00C908C6" w:rsidRDefault="00281497" w:rsidP="00281497">
      <w:pPr>
        <w:numPr>
          <w:ilvl w:val="0"/>
          <w:numId w:val="6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Under Article 312 TFEU, the MFF Regulation is adopted by the Council acting unanimously after obtaining Parliament’s consent.</w:t>
      </w:r>
    </w:p>
    <w:p w14:paraId="0E71B24C" w14:textId="77777777" w:rsidR="00281497" w:rsidRPr="00C908C6" w:rsidRDefault="00281497" w:rsidP="00281497">
      <w:pPr>
        <w:numPr>
          <w:ilvl w:val="0"/>
          <w:numId w:val="6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Under Article 293(2) TFEU, the Commission may amend its proposal at any time before Council adoption.</w:t>
      </w:r>
    </w:p>
    <w:p w14:paraId="3AD1B925" w14:textId="77777777" w:rsidR="00281497" w:rsidRPr="00C908C6" w:rsidRDefault="00281497" w:rsidP="00281497">
      <w:pPr>
        <w:numPr>
          <w:ilvl w:val="0"/>
          <w:numId w:val="6"/>
        </w:numPr>
        <w:jc w:val="both"/>
        <w:rPr>
          <w:rFonts w:ascii="Gill Sans MT" w:hAnsi="Gill Sans MT"/>
          <w:lang w:val="en-US"/>
        </w:rPr>
      </w:pPr>
      <w:proofErr w:type="gramStart"/>
      <w:r w:rsidRPr="00C908C6">
        <w:rPr>
          <w:rFonts w:ascii="Gill Sans MT" w:hAnsi="Gill Sans MT"/>
          <w:lang w:val="en-US"/>
        </w:rPr>
        <w:t>The Parliament</w:t>
      </w:r>
      <w:proofErr w:type="gramEnd"/>
      <w:r w:rsidRPr="00C908C6">
        <w:rPr>
          <w:rFonts w:ascii="Gill Sans MT" w:hAnsi="Gill Sans MT"/>
          <w:lang w:val="en-US"/>
        </w:rPr>
        <w:t xml:space="preserve"> therefore has the right to withhold consent and to request a revised proposal consistent with Union objectives and the principles of budgetary unity and transparency.</w:t>
      </w:r>
    </w:p>
    <w:p w14:paraId="1AB88860" w14:textId="188BB0C4" w:rsidR="00281497" w:rsidRPr="00C908C6" w:rsidRDefault="00281497" w:rsidP="00281497">
      <w:pPr>
        <w:jc w:val="both"/>
        <w:rPr>
          <w:rFonts w:ascii="Gill Sans MT" w:hAnsi="Gill Sans MT"/>
          <w:lang w:val="en-US"/>
        </w:rPr>
      </w:pPr>
    </w:p>
    <w:p w14:paraId="34548CBD" w14:textId="77777777" w:rsidR="00281497" w:rsidRPr="00C908C6" w:rsidRDefault="00281497" w:rsidP="00281497">
      <w:p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Calls upon:</w:t>
      </w:r>
    </w:p>
    <w:p w14:paraId="2AA7FB8A" w14:textId="77777777" w:rsidR="00281497" w:rsidRPr="00C908C6" w:rsidRDefault="00281497" w:rsidP="00281497">
      <w:p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The European Council:</w:t>
      </w:r>
    </w:p>
    <w:p w14:paraId="09699E8D" w14:textId="77777777" w:rsidR="00281497" w:rsidRPr="00C908C6" w:rsidRDefault="00281497" w:rsidP="00281497">
      <w:pPr>
        <w:numPr>
          <w:ilvl w:val="0"/>
          <w:numId w:val="7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To activate the Common </w:t>
      </w:r>
      <w:proofErr w:type="spellStart"/>
      <w:r w:rsidRPr="00C908C6">
        <w:rPr>
          <w:rFonts w:ascii="Gill Sans MT" w:hAnsi="Gill Sans MT"/>
          <w:lang w:val="en-US"/>
        </w:rPr>
        <w:t>Defence</w:t>
      </w:r>
      <w:proofErr w:type="spellEnd"/>
      <w:r w:rsidRPr="00C908C6">
        <w:rPr>
          <w:rFonts w:ascii="Gill Sans MT" w:hAnsi="Gill Sans MT"/>
          <w:lang w:val="en-US"/>
        </w:rPr>
        <w:t xml:space="preserve"> clause provided for in Article 42 </w:t>
      </w:r>
      <w:proofErr w:type="gramStart"/>
      <w:r w:rsidRPr="00C908C6">
        <w:rPr>
          <w:rFonts w:ascii="Gill Sans MT" w:hAnsi="Gill Sans MT"/>
          <w:lang w:val="en-US"/>
        </w:rPr>
        <w:t>TEU, or</w:t>
      </w:r>
      <w:proofErr w:type="gramEnd"/>
      <w:r w:rsidRPr="00C908C6">
        <w:rPr>
          <w:rFonts w:ascii="Gill Sans MT" w:hAnsi="Gill Sans MT"/>
          <w:lang w:val="en-US"/>
        </w:rPr>
        <w:t xml:space="preserve"> otherwise enable a coalition of willing Member States to proceed.</w:t>
      </w:r>
    </w:p>
    <w:p w14:paraId="33F42A4A" w14:textId="77777777" w:rsidR="00281497" w:rsidRPr="00C908C6" w:rsidRDefault="00281497" w:rsidP="00281497">
      <w:pPr>
        <w:numPr>
          <w:ilvl w:val="0"/>
          <w:numId w:val="7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To follow up on Parliament’s proposal to reform the Treaties, abolishing unanimity in key areas such as foreign and security policy, taxation, and the MFF.</w:t>
      </w:r>
    </w:p>
    <w:p w14:paraId="39073306" w14:textId="77777777" w:rsidR="00281497" w:rsidRPr="00C908C6" w:rsidRDefault="00281497" w:rsidP="00281497">
      <w:pPr>
        <w:jc w:val="both"/>
        <w:rPr>
          <w:rFonts w:ascii="Gill Sans MT" w:hAnsi="Gill Sans MT"/>
        </w:rPr>
      </w:pPr>
      <w:r w:rsidRPr="00C908C6">
        <w:rPr>
          <w:rFonts w:ascii="Gill Sans MT" w:hAnsi="Gill Sans MT"/>
        </w:rPr>
        <w:t>The European Commission:</w:t>
      </w:r>
    </w:p>
    <w:p w14:paraId="643D345C" w14:textId="41A6F119" w:rsidR="00281497" w:rsidRPr="00C908C6" w:rsidRDefault="00281497" w:rsidP="00281497">
      <w:pPr>
        <w:numPr>
          <w:ilvl w:val="0"/>
          <w:numId w:val="8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To ensure full implementation of the Letta and Draghi reports on the internal market and competitiveness by appointing a Special Envoy responsible for cross-sectoral coordination and monitoring.</w:t>
      </w:r>
    </w:p>
    <w:p w14:paraId="1B0E9CB1" w14:textId="77777777" w:rsidR="00281497" w:rsidRPr="00C908C6" w:rsidRDefault="00281497" w:rsidP="00281497">
      <w:pPr>
        <w:numPr>
          <w:ilvl w:val="0"/>
          <w:numId w:val="8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To table a new, strengthened MFF proposal (2028–2034) capable of financing European public goods — notably </w:t>
      </w:r>
      <w:proofErr w:type="spellStart"/>
      <w:r w:rsidRPr="00C908C6">
        <w:rPr>
          <w:rFonts w:ascii="Gill Sans MT" w:hAnsi="Gill Sans MT"/>
          <w:lang w:val="en-US"/>
        </w:rPr>
        <w:t>defence</w:t>
      </w:r>
      <w:proofErr w:type="spellEnd"/>
      <w:r w:rsidRPr="00C908C6">
        <w:rPr>
          <w:rFonts w:ascii="Gill Sans MT" w:hAnsi="Gill Sans MT"/>
          <w:lang w:val="en-US"/>
        </w:rPr>
        <w:t>, research, competitiveness, cohesion, and agriculture — while respecting parliamentary control, regional roles, and funded through genuine EU own resources directly collected by the Union.</w:t>
      </w:r>
    </w:p>
    <w:p w14:paraId="1A9E0207" w14:textId="77777777" w:rsidR="00281497" w:rsidRPr="00C908C6" w:rsidRDefault="00281497" w:rsidP="00281497">
      <w:pPr>
        <w:jc w:val="both"/>
        <w:rPr>
          <w:rFonts w:ascii="Gill Sans MT" w:hAnsi="Gill Sans MT"/>
        </w:rPr>
      </w:pPr>
      <w:r w:rsidRPr="00C908C6">
        <w:rPr>
          <w:rFonts w:ascii="Gill Sans MT" w:hAnsi="Gill Sans MT"/>
        </w:rPr>
        <w:t xml:space="preserve">The European </w:t>
      </w:r>
      <w:proofErr w:type="spellStart"/>
      <w:r w:rsidRPr="00C908C6">
        <w:rPr>
          <w:rFonts w:ascii="Gill Sans MT" w:hAnsi="Gill Sans MT"/>
        </w:rPr>
        <w:t>Parliament</w:t>
      </w:r>
      <w:proofErr w:type="spellEnd"/>
      <w:r w:rsidRPr="00C908C6">
        <w:rPr>
          <w:rFonts w:ascii="Gill Sans MT" w:hAnsi="Gill Sans MT"/>
        </w:rPr>
        <w:t>:</w:t>
      </w:r>
    </w:p>
    <w:p w14:paraId="069CD1E7" w14:textId="77777777" w:rsidR="00281497" w:rsidRPr="00C908C6" w:rsidRDefault="00281497" w:rsidP="00281497">
      <w:pPr>
        <w:numPr>
          <w:ilvl w:val="0"/>
          <w:numId w:val="9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>To condition its support for the next annual budgets and the MFF on the European Council’s concrete steps toward implementing Articles 42 and 48 TEU.</w:t>
      </w:r>
    </w:p>
    <w:p w14:paraId="625A6DCC" w14:textId="1179D274" w:rsidR="00B96057" w:rsidRPr="00C908C6" w:rsidRDefault="00B96057" w:rsidP="00AD45E5">
      <w:pPr>
        <w:numPr>
          <w:ilvl w:val="0"/>
          <w:numId w:val="9"/>
        </w:numPr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To convene an Interparliamentary Assembly involving </w:t>
      </w:r>
      <w:proofErr w:type="spellStart"/>
      <w:r w:rsidRPr="00C908C6">
        <w:rPr>
          <w:rFonts w:ascii="Gill Sans MT" w:hAnsi="Gill Sans MT"/>
          <w:lang w:val="en-US"/>
        </w:rPr>
        <w:t>rapresenatives</w:t>
      </w:r>
      <w:proofErr w:type="spellEnd"/>
      <w:r w:rsidRPr="00C908C6">
        <w:rPr>
          <w:rFonts w:ascii="Gill Sans MT" w:hAnsi="Gill Sans MT"/>
          <w:lang w:val="en-US"/>
        </w:rPr>
        <w:t xml:space="preserve"> of National parliament with the purpose of advocating for the implementation of these objectives: internal market completion, competitiveness, a credible MFF, a European </w:t>
      </w:r>
      <w:proofErr w:type="spellStart"/>
      <w:r w:rsidRPr="00C908C6">
        <w:rPr>
          <w:rFonts w:ascii="Gill Sans MT" w:hAnsi="Gill Sans MT"/>
          <w:lang w:val="en-US"/>
        </w:rPr>
        <w:t>Defence</w:t>
      </w:r>
      <w:proofErr w:type="spellEnd"/>
      <w:r w:rsidRPr="00C908C6">
        <w:rPr>
          <w:rFonts w:ascii="Gill Sans MT" w:hAnsi="Gill Sans MT"/>
          <w:lang w:val="en-US"/>
        </w:rPr>
        <w:t xml:space="preserve"> Union, and progress toward full political union.</w:t>
      </w:r>
    </w:p>
    <w:p w14:paraId="492D4CEE" w14:textId="7495357B" w:rsidR="00281497" w:rsidRPr="00C908C6" w:rsidRDefault="00281497" w:rsidP="00281497">
      <w:pPr>
        <w:jc w:val="both"/>
        <w:rPr>
          <w:rFonts w:ascii="Gill Sans MT" w:hAnsi="Gill Sans MT"/>
          <w:lang w:val="en-US"/>
        </w:rPr>
      </w:pPr>
    </w:p>
    <w:p w14:paraId="69ED2146" w14:textId="77777777" w:rsidR="00281497" w:rsidRPr="00C908C6" w:rsidRDefault="00281497" w:rsidP="00281497">
      <w:pPr>
        <w:jc w:val="both"/>
        <w:rPr>
          <w:rFonts w:ascii="Gill Sans MT" w:hAnsi="Gill Sans MT"/>
        </w:rPr>
      </w:pPr>
      <w:proofErr w:type="spellStart"/>
      <w:r w:rsidRPr="00C908C6">
        <w:rPr>
          <w:rFonts w:ascii="Gill Sans MT" w:hAnsi="Gill Sans MT"/>
        </w:rPr>
        <w:t>Finally</w:t>
      </w:r>
      <w:proofErr w:type="spellEnd"/>
      <w:r w:rsidRPr="00C908C6">
        <w:rPr>
          <w:rFonts w:ascii="Gill Sans MT" w:hAnsi="Gill Sans MT"/>
        </w:rPr>
        <w:t>, calls for:</w:t>
      </w:r>
    </w:p>
    <w:p w14:paraId="4022CE13" w14:textId="74A7CB9A" w:rsidR="00281497" w:rsidRPr="00C908C6" w:rsidRDefault="00281497" w:rsidP="00281497">
      <w:pPr>
        <w:numPr>
          <w:ilvl w:val="0"/>
          <w:numId w:val="10"/>
        </w:numPr>
        <w:tabs>
          <w:tab w:val="num" w:pos="1440"/>
        </w:tabs>
        <w:jc w:val="both"/>
        <w:rPr>
          <w:rFonts w:ascii="Gill Sans MT" w:hAnsi="Gill Sans MT"/>
          <w:lang w:val="en-US"/>
        </w:rPr>
      </w:pPr>
      <w:r w:rsidRPr="00C908C6">
        <w:rPr>
          <w:rFonts w:ascii="Gill Sans MT" w:hAnsi="Gill Sans MT"/>
          <w:lang w:val="en-US"/>
        </w:rPr>
        <w:t xml:space="preserve">the most committed Member States, the European parliament the pro-European majorities in national parliaments, the European Commission, </w:t>
      </w:r>
      <w:proofErr w:type="spellStart"/>
      <w:r w:rsidRPr="00C908C6">
        <w:rPr>
          <w:rFonts w:ascii="Gill Sans MT" w:hAnsi="Gill Sans MT"/>
          <w:lang w:val="en-US"/>
        </w:rPr>
        <w:t>federealist</w:t>
      </w:r>
      <w:proofErr w:type="spellEnd"/>
      <w:r w:rsidRPr="00C908C6">
        <w:rPr>
          <w:rFonts w:ascii="Gill Sans MT" w:hAnsi="Gill Sans MT"/>
          <w:lang w:val="en-US"/>
        </w:rPr>
        <w:t xml:space="preserve"> and prop-</w:t>
      </w:r>
      <w:proofErr w:type="spellStart"/>
      <w:r w:rsidRPr="00C908C6">
        <w:rPr>
          <w:rFonts w:ascii="Gill Sans MT" w:hAnsi="Gill Sans MT"/>
          <w:lang w:val="en-US"/>
        </w:rPr>
        <w:t>europea</w:t>
      </w:r>
      <w:proofErr w:type="spellEnd"/>
      <w:r w:rsidRPr="00C908C6">
        <w:rPr>
          <w:rFonts w:ascii="Gill Sans MT" w:hAnsi="Gill Sans MT"/>
          <w:lang w:val="en-US"/>
        </w:rPr>
        <w:t xml:space="preserve"> associations of the civil society to act </w:t>
      </w:r>
      <w:r w:rsidRPr="00C908C6">
        <w:rPr>
          <w:rFonts w:ascii="Gill Sans MT" w:hAnsi="Gill Sans MT"/>
          <w:lang w:val="en-US"/>
        </w:rPr>
        <w:br/>
        <w:t>united in driving forward Europe’s political unification beyond institutional inertia.</w:t>
      </w:r>
    </w:p>
    <w:p w14:paraId="32190CA5" w14:textId="77777777" w:rsidR="00281497" w:rsidRDefault="00281497" w:rsidP="00CA398F">
      <w:pPr>
        <w:jc w:val="both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</w:p>
    <w:p w14:paraId="221FC2E8" w14:textId="637243B5" w:rsidR="00AD45E5" w:rsidRPr="00C908C6" w:rsidRDefault="00AD45E5" w:rsidP="00C908C6">
      <w:pPr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br w:type="page"/>
      </w:r>
    </w:p>
    <w:p w14:paraId="37850610" w14:textId="77777777" w:rsidR="00AD45E5" w:rsidRPr="00216220" w:rsidRDefault="00AD45E5" w:rsidP="00AD45E5">
      <w:pPr>
        <w:suppressLineNumbers/>
        <w:pBdr>
          <w:top w:val="single" w:sz="4" w:space="5" w:color="00764D"/>
          <w:left w:val="single" w:sz="4" w:space="4" w:color="00764D"/>
          <w:bottom w:val="single" w:sz="4" w:space="5" w:color="00764D"/>
          <w:right w:val="single" w:sz="4" w:space="4" w:color="00764D"/>
        </w:pBdr>
        <w:shd w:val="clear" w:color="auto" w:fill="00764D"/>
        <w:jc w:val="center"/>
        <w:rPr>
          <w:rFonts w:ascii="Gill Sans MT" w:hAnsi="Gill Sans MT"/>
          <w:lang w:val="en-US"/>
        </w:rPr>
      </w:pPr>
      <w:r w:rsidRPr="00216220">
        <w:rPr>
          <w:rFonts w:ascii="Gill Sans MT" w:hAnsi="Gill Sans MT" w:cs="Arial"/>
          <w:b/>
          <w:caps/>
          <w:color w:val="FFFFFF"/>
          <w:szCs w:val="22"/>
          <w:lang w:val="en-US"/>
        </w:rPr>
        <w:lastRenderedPageBreak/>
        <w:t>amendment FORM</w:t>
      </w:r>
    </w:p>
    <w:p w14:paraId="05466E1B" w14:textId="77777777" w:rsidR="00AD45E5" w:rsidRDefault="00AD45E5" w:rsidP="00AD45E5">
      <w:pPr>
        <w:suppressLineNumbers/>
        <w:rPr>
          <w:rFonts w:ascii="Calibri" w:hAnsi="Calibri" w:cs="Arial"/>
          <w:b/>
          <w:color w:val="FF0000"/>
          <w:sz w:val="22"/>
          <w:szCs w:val="22"/>
          <w:lang w:val="en-US"/>
        </w:rPr>
      </w:pPr>
    </w:p>
    <w:p w14:paraId="79FAB090" w14:textId="5FF0A65F" w:rsidR="00AD45E5" w:rsidRDefault="00AD45E5" w:rsidP="00C908C6">
      <w:pPr>
        <w:suppressLineNumbers/>
        <w:rPr>
          <w:rFonts w:ascii="Gill Sans MT" w:hAnsi="Gill Sans MT"/>
          <w:lang w:val="en-US"/>
        </w:rPr>
      </w:pPr>
      <w:r w:rsidRPr="00216220">
        <w:rPr>
          <w:rFonts w:ascii="Gill Sans MT" w:hAnsi="Gill Sans MT" w:cs="Arial"/>
          <w:b/>
          <w:color w:val="FF0000"/>
          <w:sz w:val="22"/>
          <w:szCs w:val="22"/>
          <w:lang w:val="en-US"/>
        </w:rPr>
        <w:t xml:space="preserve">Deadline for amendments to the proposed resolutions: </w:t>
      </w:r>
      <w:r w:rsidRPr="00216220"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>12:00</w:t>
      </w:r>
      <w:r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 xml:space="preserve"> PM</w:t>
      </w:r>
      <w:r w:rsidRPr="00216220"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 xml:space="preserve"> (CET) </w:t>
      </w:r>
      <w:r w:rsidR="00B06346"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>1</w:t>
      </w:r>
      <w:r w:rsidR="00B06346"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>5</w:t>
      </w:r>
      <w:r w:rsidR="00B06346"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 xml:space="preserve"> </w:t>
      </w:r>
      <w:proofErr w:type="gramStart"/>
      <w:r w:rsidR="00B06346"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 xml:space="preserve">November </w:t>
      </w:r>
      <w:r>
        <w:rPr>
          <w:rFonts w:ascii="Gill Sans MT" w:hAnsi="Gill Sans MT" w:cs="Arial"/>
          <w:b/>
          <w:color w:val="FF0000"/>
          <w:sz w:val="22"/>
          <w:szCs w:val="22"/>
          <w:u w:val="single"/>
          <w:lang w:val="en-US"/>
        </w:rPr>
        <w:t xml:space="preserve"> 2025</w:t>
      </w:r>
      <w:proofErr w:type="gramEnd"/>
    </w:p>
    <w:p w14:paraId="21546B57" w14:textId="77777777" w:rsidR="00AD45E5" w:rsidRPr="00216220" w:rsidRDefault="00AD45E5" w:rsidP="00C908C6">
      <w:pPr>
        <w:suppressLineNumbers/>
        <w:rPr>
          <w:rFonts w:ascii="Gill Sans MT" w:hAnsi="Gill Sans MT"/>
          <w:lang w:val="en-US"/>
        </w:rPr>
      </w:pPr>
    </w:p>
    <w:p w14:paraId="3EA6B927" w14:textId="77777777" w:rsidR="00AD45E5" w:rsidRPr="00216220" w:rsidRDefault="00AD45E5" w:rsidP="00C908C6">
      <w:pPr>
        <w:suppressLineNumbers/>
        <w:rPr>
          <w:rFonts w:ascii="Gill Sans MT" w:hAnsi="Gill Sans MT" w:cs="Arial"/>
          <w:b/>
          <w:sz w:val="22"/>
          <w:szCs w:val="22"/>
          <w:lang w:val="en-US"/>
        </w:rPr>
      </w:pPr>
    </w:p>
    <w:p w14:paraId="1D19F120" w14:textId="77777777" w:rsidR="00AD45E5" w:rsidRPr="00216220" w:rsidRDefault="00AD45E5" w:rsidP="00C908C6">
      <w:pPr>
        <w:suppressLineNumbers/>
        <w:rPr>
          <w:rFonts w:ascii="Gill Sans MT" w:hAnsi="Gill Sans MT"/>
          <w:szCs w:val="20"/>
          <w:lang w:val="en-US"/>
        </w:rPr>
      </w:pPr>
      <w:r w:rsidRPr="00216220">
        <w:rPr>
          <w:rFonts w:ascii="Gill Sans MT" w:hAnsi="Gill Sans MT" w:cs="Arial"/>
          <w:b/>
          <w:sz w:val="22"/>
          <w:szCs w:val="22"/>
          <w:lang w:val="en-US"/>
        </w:rPr>
        <w:t xml:space="preserve">Completed forms should be sent to: </w:t>
      </w:r>
      <w:hyperlink r:id="rId9" w:history="1">
        <w:r w:rsidRPr="00216220">
          <w:rPr>
            <w:rStyle w:val="Collegamentoipertestuale"/>
            <w:rFonts w:ascii="Gill Sans MT" w:hAnsi="Gill Sans MT" w:cs="Arial"/>
            <w:b/>
            <w:color w:val="00764D"/>
            <w:sz w:val="22"/>
            <w:szCs w:val="22"/>
            <w:lang w:val="en-US"/>
          </w:rPr>
          <w:t>secretariat@federalists.eu</w:t>
        </w:r>
      </w:hyperlink>
      <w:r w:rsidRPr="00216220">
        <w:rPr>
          <w:rFonts w:ascii="Gill Sans MT" w:hAnsi="Gill Sans MT" w:cs="Arial"/>
          <w:b/>
          <w:sz w:val="22"/>
          <w:szCs w:val="22"/>
          <w:lang w:val="en-US"/>
        </w:rPr>
        <w:t>.</w:t>
      </w:r>
    </w:p>
    <w:p w14:paraId="074417F1" w14:textId="77777777" w:rsidR="00AD45E5" w:rsidRPr="00216220" w:rsidRDefault="00AD45E5" w:rsidP="00C908C6">
      <w:pPr>
        <w:suppressLineNumbers/>
        <w:rPr>
          <w:rFonts w:ascii="Gill Sans MT" w:hAnsi="Gill Sans MT" w:cs="Arial"/>
          <w:b/>
          <w:sz w:val="22"/>
          <w:szCs w:val="22"/>
          <w:lang w:val="en-US"/>
        </w:rPr>
      </w:pPr>
    </w:p>
    <w:p w14:paraId="5A573EAF" w14:textId="77777777" w:rsidR="00AD45E5" w:rsidRDefault="00AD45E5" w:rsidP="00C908C6">
      <w:pPr>
        <w:suppressLineNumbers/>
        <w:rPr>
          <w:rFonts w:ascii="Gill Sans MT" w:hAnsi="Gill Sans MT" w:cs="Arial"/>
          <w:b/>
          <w:sz w:val="22"/>
          <w:szCs w:val="22"/>
        </w:rPr>
      </w:pPr>
      <w:r w:rsidRPr="00216220">
        <w:rPr>
          <w:rFonts w:ascii="Gill Sans MT" w:hAnsi="Gill Sans MT" w:cs="Arial"/>
          <w:b/>
          <w:sz w:val="22"/>
          <w:szCs w:val="22"/>
          <w:lang w:val="en-US"/>
        </w:rPr>
        <w:t xml:space="preserve">Please fill out </w:t>
      </w:r>
      <w:r w:rsidRPr="00216220">
        <w:rPr>
          <w:rFonts w:ascii="Gill Sans MT" w:hAnsi="Gill Sans MT" w:cs="Arial"/>
          <w:b/>
          <w:sz w:val="22"/>
          <w:szCs w:val="22"/>
          <w:u w:val="single"/>
          <w:lang w:val="en-US"/>
        </w:rPr>
        <w:t>one table per amendment and one amendment form per resolution</w:t>
      </w:r>
      <w:r w:rsidRPr="00216220">
        <w:rPr>
          <w:rFonts w:ascii="Gill Sans MT" w:hAnsi="Gill Sans MT" w:cs="Arial"/>
          <w:b/>
          <w:sz w:val="22"/>
          <w:szCs w:val="22"/>
          <w:lang w:val="en-US"/>
        </w:rPr>
        <w:t xml:space="preserve">. </w:t>
      </w:r>
      <w:r w:rsidRPr="00216220">
        <w:rPr>
          <w:rFonts w:ascii="Gill Sans MT" w:hAnsi="Gill Sans MT" w:cs="Arial"/>
          <w:b/>
          <w:sz w:val="22"/>
          <w:szCs w:val="22"/>
        </w:rPr>
        <w:t xml:space="preserve">Do </w:t>
      </w:r>
      <w:proofErr w:type="spellStart"/>
      <w:r w:rsidRPr="00216220">
        <w:rPr>
          <w:rFonts w:ascii="Gill Sans MT" w:hAnsi="Gill Sans MT" w:cs="Arial"/>
          <w:b/>
          <w:sz w:val="22"/>
          <w:szCs w:val="22"/>
        </w:rPr>
        <w:t>not</w:t>
      </w:r>
      <w:proofErr w:type="spellEnd"/>
      <w:r w:rsidRPr="00216220">
        <w:rPr>
          <w:rFonts w:ascii="Gill Sans MT" w:hAnsi="Gill Sans MT" w:cs="Arial"/>
          <w:b/>
          <w:sz w:val="22"/>
          <w:szCs w:val="22"/>
        </w:rPr>
        <w:t xml:space="preserve"> </w:t>
      </w:r>
      <w:proofErr w:type="spellStart"/>
      <w:r w:rsidRPr="00216220">
        <w:rPr>
          <w:rFonts w:ascii="Gill Sans MT" w:hAnsi="Gill Sans MT" w:cs="Arial"/>
          <w:b/>
          <w:sz w:val="22"/>
          <w:szCs w:val="22"/>
        </w:rPr>
        <w:t>add</w:t>
      </w:r>
      <w:proofErr w:type="spellEnd"/>
      <w:r w:rsidRPr="00216220">
        <w:rPr>
          <w:rFonts w:ascii="Gill Sans MT" w:hAnsi="Gill Sans MT" w:cs="Arial"/>
          <w:b/>
          <w:sz w:val="22"/>
          <w:szCs w:val="22"/>
        </w:rPr>
        <w:t xml:space="preserve"> </w:t>
      </w:r>
      <w:proofErr w:type="spellStart"/>
      <w:r w:rsidRPr="00216220">
        <w:rPr>
          <w:rFonts w:ascii="Gill Sans MT" w:hAnsi="Gill Sans MT" w:cs="Arial"/>
          <w:b/>
          <w:sz w:val="22"/>
          <w:szCs w:val="22"/>
        </w:rPr>
        <w:t>rows</w:t>
      </w:r>
      <w:proofErr w:type="spellEnd"/>
      <w:r w:rsidRPr="00216220">
        <w:rPr>
          <w:rFonts w:ascii="Gill Sans MT" w:hAnsi="Gill Sans MT" w:cs="Arial"/>
          <w:b/>
          <w:sz w:val="22"/>
          <w:szCs w:val="22"/>
        </w:rPr>
        <w:t xml:space="preserve"> or </w:t>
      </w:r>
      <w:proofErr w:type="spellStart"/>
      <w:r w:rsidRPr="00216220">
        <w:rPr>
          <w:rFonts w:ascii="Gill Sans MT" w:hAnsi="Gill Sans MT" w:cs="Arial"/>
          <w:b/>
          <w:sz w:val="22"/>
          <w:szCs w:val="22"/>
        </w:rPr>
        <w:t>columns</w:t>
      </w:r>
      <w:proofErr w:type="spellEnd"/>
      <w:r w:rsidRPr="00216220">
        <w:rPr>
          <w:rFonts w:ascii="Gill Sans MT" w:hAnsi="Gill Sans MT" w:cs="Arial"/>
          <w:b/>
          <w:sz w:val="22"/>
          <w:szCs w:val="22"/>
        </w:rPr>
        <w:t xml:space="preserve"> to the </w:t>
      </w:r>
      <w:proofErr w:type="spellStart"/>
      <w:r w:rsidRPr="00216220">
        <w:rPr>
          <w:rFonts w:ascii="Gill Sans MT" w:hAnsi="Gill Sans MT" w:cs="Arial"/>
          <w:b/>
          <w:sz w:val="22"/>
          <w:szCs w:val="22"/>
        </w:rPr>
        <w:t>tables</w:t>
      </w:r>
      <w:proofErr w:type="spellEnd"/>
      <w:r w:rsidRPr="00216220">
        <w:rPr>
          <w:rFonts w:ascii="Gill Sans MT" w:hAnsi="Gill Sans MT" w:cs="Arial"/>
          <w:b/>
          <w:sz w:val="22"/>
          <w:szCs w:val="22"/>
        </w:rPr>
        <w:t>.</w:t>
      </w:r>
    </w:p>
    <w:p w14:paraId="600C9A03" w14:textId="77777777" w:rsidR="00AD45E5" w:rsidRPr="00216220" w:rsidRDefault="00AD45E5" w:rsidP="00C908C6">
      <w:pPr>
        <w:suppressLineNumbers/>
        <w:rPr>
          <w:rFonts w:ascii="Gill Sans MT" w:hAnsi="Gill Sans MT"/>
          <w:szCs w:val="20"/>
        </w:rPr>
      </w:pPr>
    </w:p>
    <w:p w14:paraId="5E7D4825" w14:textId="77777777" w:rsidR="00AD45E5" w:rsidRDefault="00AD45E5" w:rsidP="00C908C6">
      <w:pPr>
        <w:suppressLineNumbers/>
        <w:spacing w:after="160" w:line="245" w:lineRule="auto"/>
        <w:ind w:left="1310" w:hanging="1310"/>
        <w:rPr>
          <w:rFonts w:ascii="Calibri" w:eastAsia="Calibri" w:hAnsi="Calibri"/>
          <w:b/>
          <w:sz w:val="22"/>
          <w:szCs w:val="18"/>
          <w:lang w:val="en-GB"/>
        </w:rPr>
      </w:pPr>
    </w:p>
    <w:tbl>
      <w:tblPr>
        <w:tblW w:w="9640" w:type="dxa"/>
        <w:tblInd w:w="-255" w:type="dxa"/>
        <w:tblLayout w:type="fixed"/>
        <w:tblLook w:val="0000" w:firstRow="0" w:lastRow="0" w:firstColumn="0" w:lastColumn="0" w:noHBand="0" w:noVBand="0"/>
      </w:tblPr>
      <w:tblGrid>
        <w:gridCol w:w="2265"/>
        <w:gridCol w:w="2556"/>
        <w:gridCol w:w="4819"/>
      </w:tblGrid>
      <w:tr w:rsidR="00AD45E5" w14:paraId="239DEF31" w14:textId="77777777" w:rsidTr="00C75FDF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923B" w14:textId="77777777" w:rsidR="00AD45E5" w:rsidRDefault="00AD45E5" w:rsidP="00C908C6">
            <w:pPr>
              <w:suppressLineNumbers/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Your Name: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8C4C" w14:textId="7B711CB1" w:rsidR="00AD45E5" w:rsidRDefault="00AD45E5" w:rsidP="00C908C6">
            <w:pPr>
              <w:suppressLineNumbers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D45E5" w14:paraId="25CDE090" w14:textId="77777777" w:rsidTr="00C75FDF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EB63" w14:textId="77777777" w:rsidR="00AD45E5" w:rsidRDefault="00AD45E5" w:rsidP="00C908C6">
            <w:pPr>
              <w:suppressLineNumbers/>
              <w:jc w:val="right"/>
              <w:rPr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Line number(s):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24D5" w14:textId="3D66A1F2" w:rsidR="00AD45E5" w:rsidRDefault="00AD45E5" w:rsidP="00C908C6">
            <w:pPr>
              <w:suppressLineNumbers/>
              <w:jc w:val="center"/>
              <w:rPr>
                <w:lang w:val="en-GB"/>
              </w:rPr>
            </w:pPr>
          </w:p>
        </w:tc>
      </w:tr>
      <w:tr w:rsidR="00AD45E5" w14:paraId="5144ED90" w14:textId="77777777" w:rsidTr="00C75FDF"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BE57" w14:textId="77777777" w:rsidR="00AD45E5" w:rsidRDefault="00AD45E5" w:rsidP="00C908C6">
            <w:pPr>
              <w:suppressLineNumbers/>
              <w:jc w:val="center"/>
              <w:rPr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Original text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FB20" w14:textId="77777777" w:rsidR="00AD45E5" w:rsidRDefault="00AD45E5" w:rsidP="00C908C6">
            <w:pPr>
              <w:suppressLineNumbers/>
              <w:jc w:val="center"/>
              <w:rPr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Amended text</w:t>
            </w:r>
          </w:p>
        </w:tc>
      </w:tr>
      <w:tr w:rsidR="00AD45E5" w:rsidRPr="00C908C6" w14:paraId="35744DDA" w14:textId="77777777" w:rsidTr="00C75FDF">
        <w:trPr>
          <w:trHeight w:val="1734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9F94" w14:textId="35D15371" w:rsidR="00AD45E5" w:rsidRPr="00B41C1C" w:rsidRDefault="00AD45E5" w:rsidP="00C908C6">
            <w:pPr>
              <w:pStyle w:val="NormaleWeb"/>
              <w:suppressLineNumbers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AAF" w14:textId="3AD99B10" w:rsidR="00AD45E5" w:rsidRPr="00B41C1C" w:rsidRDefault="00AD45E5" w:rsidP="00C908C6">
            <w:pPr>
              <w:pStyle w:val="NormaleWeb"/>
              <w:suppressLineNumbers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AD45E5" w:rsidRPr="00C908C6" w14:paraId="4E26EB9C" w14:textId="77777777" w:rsidTr="00C75FDF">
        <w:trPr>
          <w:trHeight w:val="55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7977" w14:textId="77777777" w:rsidR="00AD45E5" w:rsidRDefault="00AD45E5" w:rsidP="00C908C6">
            <w:pPr>
              <w:suppressLineNumbers/>
              <w:jc w:val="right"/>
              <w:rPr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Explanatory statement (optional):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53B0" w14:textId="77777777" w:rsidR="00AD45E5" w:rsidRDefault="00AD45E5" w:rsidP="00AD45E5">
            <w:pPr>
              <w:pStyle w:val="NormaleWeb"/>
              <w:suppressLineNumbers/>
              <w:ind w:left="720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  <w:p w14:paraId="03CF98D6" w14:textId="4B88F134" w:rsidR="00AD45E5" w:rsidRDefault="00AD45E5" w:rsidP="00C908C6">
            <w:pPr>
              <w:pStyle w:val="NormaleWeb"/>
              <w:suppressLineNumbers/>
              <w:ind w:left="720"/>
              <w:rPr>
                <w:lang w:val="en-GB"/>
              </w:rPr>
            </w:pPr>
          </w:p>
        </w:tc>
      </w:tr>
    </w:tbl>
    <w:p w14:paraId="57BD0727" w14:textId="77777777" w:rsidR="00AD45E5" w:rsidRPr="00C908C6" w:rsidRDefault="00AD45E5" w:rsidP="00C908C6">
      <w:pPr>
        <w:suppressLineNumbers/>
        <w:jc w:val="both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</w:p>
    <w:sectPr w:rsidR="00AD45E5" w:rsidRPr="00C908C6" w:rsidSect="00AD45E5">
      <w:headerReference w:type="default" r:id="rId10"/>
      <w:pgSz w:w="11906" w:h="16838"/>
      <w:pgMar w:top="1417" w:right="1134" w:bottom="1134" w:left="1134" w:header="0" w:footer="0" w:gutter="0"/>
      <w:lnNumType w:countBy="1" w:distance="283" w:restart="continuous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7F2E" w14:textId="77777777" w:rsidR="00A71E12" w:rsidRDefault="00A71E12" w:rsidP="00AD45E5">
      <w:r>
        <w:separator/>
      </w:r>
    </w:p>
  </w:endnote>
  <w:endnote w:type="continuationSeparator" w:id="0">
    <w:p w14:paraId="4FFA493E" w14:textId="77777777" w:rsidR="00A71E12" w:rsidRDefault="00A71E12" w:rsidP="00AD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A175" w14:textId="77777777" w:rsidR="00A71E12" w:rsidRDefault="00A71E12" w:rsidP="00AD45E5">
      <w:r>
        <w:separator/>
      </w:r>
    </w:p>
  </w:footnote>
  <w:footnote w:type="continuationSeparator" w:id="0">
    <w:p w14:paraId="01CE94AE" w14:textId="77777777" w:rsidR="00A71E12" w:rsidRDefault="00A71E12" w:rsidP="00AD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D10F" w14:textId="77777777" w:rsidR="00AD45E5" w:rsidRDefault="00AD45E5">
    <w:pPr>
      <w:pStyle w:val="Intestazione"/>
    </w:pPr>
  </w:p>
  <w:p w14:paraId="55AD42EA" w14:textId="77777777" w:rsidR="00AD45E5" w:rsidRDefault="00AD45E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AD45E5" w:rsidRPr="00C908C6" w14:paraId="62DA8963" w14:textId="77777777" w:rsidTr="00C75FDF">
      <w:tc>
        <w:tcPr>
          <w:tcW w:w="4811" w:type="dxa"/>
        </w:tcPr>
        <w:p w14:paraId="05E161B7" w14:textId="77777777" w:rsidR="00AD45E5" w:rsidRDefault="00AD45E5" w:rsidP="00AD45E5">
          <w:pPr>
            <w:pStyle w:val="Intestazione"/>
            <w:rPr>
              <w:lang w:val="en-US"/>
            </w:rPr>
          </w:pPr>
          <w:bookmarkStart w:id="1" w:name="_Hlk181001806"/>
          <w:r>
            <w:rPr>
              <w:noProof/>
              <w:lang w:val="en-GB" w:eastAsia="en-GB"/>
            </w:rPr>
            <w:drawing>
              <wp:inline distT="0" distB="0" distL="0" distR="0" wp14:anchorId="74D57DF1" wp14:editId="5AA89EA3">
                <wp:extent cx="2304415" cy="499745"/>
                <wp:effectExtent l="0" t="0" r="635" b="0"/>
                <wp:docPr id="8" name="Immagine 8" descr="Immagine che contiene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8" descr="Immagine che contiene schermata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4415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</w:tcPr>
        <w:p w14:paraId="326E68DF" w14:textId="77777777" w:rsidR="00AD45E5" w:rsidRPr="00126882" w:rsidRDefault="00AD45E5" w:rsidP="00AD45E5">
          <w:pPr>
            <w:pStyle w:val="Intestazione"/>
            <w:jc w:val="right"/>
            <w:rPr>
              <w:rFonts w:cstheme="minorHAnsi"/>
              <w:lang w:val="en-US"/>
            </w:rPr>
          </w:pPr>
          <w:r w:rsidRPr="00126882">
            <w:rPr>
              <w:rFonts w:cstheme="minorHAnsi"/>
              <w:lang w:val="en-US"/>
            </w:rPr>
            <w:t>FEDERAL COMMITTEE MEETING</w:t>
          </w:r>
        </w:p>
        <w:p w14:paraId="50BA001D" w14:textId="1241D81A" w:rsidR="00AD45E5" w:rsidRDefault="00AD45E5" w:rsidP="00AD45E5">
          <w:pPr>
            <w:pStyle w:val="Intestazione"/>
            <w:jc w:val="right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Athens</w:t>
          </w:r>
          <w:r w:rsidRPr="00126882">
            <w:rPr>
              <w:rFonts w:cstheme="minorHAnsi"/>
              <w:lang w:val="en-US"/>
            </w:rPr>
            <w:t xml:space="preserve">, </w:t>
          </w:r>
          <w:r>
            <w:rPr>
              <w:rFonts w:cstheme="minorHAnsi"/>
              <w:lang w:val="en-US"/>
            </w:rPr>
            <w:t xml:space="preserve">21-22 November </w:t>
          </w:r>
          <w:r w:rsidRPr="00126882">
            <w:rPr>
              <w:rFonts w:cstheme="minorHAnsi"/>
              <w:lang w:val="en-US"/>
            </w:rPr>
            <w:t>202</w:t>
          </w:r>
          <w:r>
            <w:rPr>
              <w:rFonts w:cstheme="minorHAnsi"/>
              <w:lang w:val="en-US"/>
            </w:rPr>
            <w:t>5</w:t>
          </w:r>
        </w:p>
        <w:p w14:paraId="0AA32EDB" w14:textId="77777777" w:rsidR="00AD45E5" w:rsidRPr="00126882" w:rsidRDefault="00AD45E5" w:rsidP="00AD45E5">
          <w:pPr>
            <w:pStyle w:val="Intestazione"/>
            <w:jc w:val="right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Proposal of resolution 1</w:t>
          </w:r>
        </w:p>
        <w:p w14:paraId="314944A0" w14:textId="77777777" w:rsidR="00AD45E5" w:rsidRPr="00126882" w:rsidRDefault="00AD45E5" w:rsidP="00AD45E5">
          <w:pPr>
            <w:pStyle w:val="Intestazione"/>
            <w:rPr>
              <w:rFonts w:cstheme="minorHAnsi"/>
              <w:lang w:val="en-US"/>
            </w:rPr>
          </w:pPr>
        </w:p>
      </w:tc>
    </w:tr>
    <w:bookmarkEnd w:id="1"/>
  </w:tbl>
  <w:p w14:paraId="67BDE4AC" w14:textId="77777777" w:rsidR="00AD45E5" w:rsidRPr="00C908C6" w:rsidRDefault="00AD45E5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F59"/>
    <w:multiLevelType w:val="multilevel"/>
    <w:tmpl w:val="F640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67DC"/>
    <w:multiLevelType w:val="hybridMultilevel"/>
    <w:tmpl w:val="BB6CD7E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7E72"/>
    <w:multiLevelType w:val="multilevel"/>
    <w:tmpl w:val="5E22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38219C4"/>
    <w:multiLevelType w:val="multilevel"/>
    <w:tmpl w:val="38BE2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7827DA"/>
    <w:multiLevelType w:val="multilevel"/>
    <w:tmpl w:val="143C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A7129"/>
    <w:multiLevelType w:val="hybridMultilevel"/>
    <w:tmpl w:val="1D92F5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934B7"/>
    <w:multiLevelType w:val="multilevel"/>
    <w:tmpl w:val="3F0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408B8"/>
    <w:multiLevelType w:val="multilevel"/>
    <w:tmpl w:val="6126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536FE"/>
    <w:multiLevelType w:val="multilevel"/>
    <w:tmpl w:val="DC34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E6F2E"/>
    <w:multiLevelType w:val="multilevel"/>
    <w:tmpl w:val="170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30202"/>
    <w:multiLevelType w:val="multilevel"/>
    <w:tmpl w:val="847C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42F1"/>
    <w:multiLevelType w:val="hybridMultilevel"/>
    <w:tmpl w:val="A5AC6B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93CE5"/>
    <w:multiLevelType w:val="multilevel"/>
    <w:tmpl w:val="B31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205860">
    <w:abstractNumId w:val="2"/>
  </w:num>
  <w:num w:numId="2" w16cid:durableId="609436791">
    <w:abstractNumId w:val="3"/>
  </w:num>
  <w:num w:numId="3" w16cid:durableId="907611201">
    <w:abstractNumId w:val="6"/>
  </w:num>
  <w:num w:numId="4" w16cid:durableId="945619294">
    <w:abstractNumId w:val="7"/>
  </w:num>
  <w:num w:numId="5" w16cid:durableId="314381762">
    <w:abstractNumId w:val="4"/>
  </w:num>
  <w:num w:numId="6" w16cid:durableId="1375158903">
    <w:abstractNumId w:val="10"/>
  </w:num>
  <w:num w:numId="7" w16cid:durableId="1907497000">
    <w:abstractNumId w:val="0"/>
  </w:num>
  <w:num w:numId="8" w16cid:durableId="2091194387">
    <w:abstractNumId w:val="12"/>
  </w:num>
  <w:num w:numId="9" w16cid:durableId="1749421972">
    <w:abstractNumId w:val="9"/>
  </w:num>
  <w:num w:numId="10" w16cid:durableId="968633162">
    <w:abstractNumId w:val="8"/>
  </w:num>
  <w:num w:numId="11" w16cid:durableId="1193883619">
    <w:abstractNumId w:val="5"/>
  </w:num>
  <w:num w:numId="12" w16cid:durableId="567687730">
    <w:abstractNumId w:val="11"/>
  </w:num>
  <w:num w:numId="13" w16cid:durableId="9090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Adresses.dbo.Adhérents 2022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5B"/>
    <w:rsid w:val="000C5EAB"/>
    <w:rsid w:val="00145EFA"/>
    <w:rsid w:val="00281497"/>
    <w:rsid w:val="00330E41"/>
    <w:rsid w:val="003C0F0D"/>
    <w:rsid w:val="00457091"/>
    <w:rsid w:val="004D2E43"/>
    <w:rsid w:val="005467FC"/>
    <w:rsid w:val="006E2570"/>
    <w:rsid w:val="00884911"/>
    <w:rsid w:val="00887D2D"/>
    <w:rsid w:val="008C3A23"/>
    <w:rsid w:val="0090683C"/>
    <w:rsid w:val="00923562"/>
    <w:rsid w:val="00A108BB"/>
    <w:rsid w:val="00A71E12"/>
    <w:rsid w:val="00A8463A"/>
    <w:rsid w:val="00AA4B5B"/>
    <w:rsid w:val="00AA6A23"/>
    <w:rsid w:val="00AD45E5"/>
    <w:rsid w:val="00AF1B7A"/>
    <w:rsid w:val="00B06346"/>
    <w:rsid w:val="00B46FF0"/>
    <w:rsid w:val="00B96057"/>
    <w:rsid w:val="00BC3CA2"/>
    <w:rsid w:val="00C908C6"/>
    <w:rsid w:val="00CA2A04"/>
    <w:rsid w:val="00CA398F"/>
    <w:rsid w:val="00CC7F64"/>
    <w:rsid w:val="00CD0D51"/>
    <w:rsid w:val="00E3048B"/>
    <w:rsid w:val="00E53719"/>
    <w:rsid w:val="00F06A1E"/>
    <w:rsid w:val="00F1203E"/>
    <w:rsid w:val="00F46E98"/>
    <w:rsid w:val="00F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54F"/>
  <w15:docId w15:val="{C975CBB5-2375-4E83-B503-FE7B590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0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90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0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90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690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90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90A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690A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690A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690A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690A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690AA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690AA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690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690AA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90AA5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690A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0AA5"/>
    <w:rPr>
      <w:b/>
      <w:bCs/>
      <w:smallCaps/>
      <w:color w:val="2F5496" w:themeColor="accent1" w:themeShade="BF"/>
      <w:spacing w:val="5"/>
    </w:rPr>
  </w:style>
  <w:style w:type="character" w:styleId="Numeroriga">
    <w:name w:val="line number"/>
    <w:basedOn w:val="Carpredefinitoparagrafo"/>
    <w:uiPriority w:val="99"/>
    <w:semiHidden/>
    <w:unhideWhenUsed/>
    <w:rsid w:val="006C7F4C"/>
  </w:style>
  <w:style w:type="paragraph" w:customStyle="1" w:styleId="Titre">
    <w:name w:val="Titre"/>
    <w:basedOn w:val="Normale"/>
    <w:next w:val="Corpotesto"/>
    <w:qFormat/>
    <w:pPr>
      <w:keepNext/>
      <w:spacing w:before="240" w:after="120"/>
    </w:pPr>
    <w:rPr>
      <w:rFonts w:ascii="Georgia" w:eastAsia="Microsoft YaHei" w:hAnsi="Georgia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Georgia" w:hAnsi="Georgia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Georgia" w:hAnsi="Georgia" w:cs="Mangal"/>
      <w:i/>
      <w:iCs/>
      <w:sz w:val="18"/>
    </w:rPr>
  </w:style>
  <w:style w:type="paragraph" w:customStyle="1" w:styleId="Index">
    <w:name w:val="Index"/>
    <w:basedOn w:val="Normale"/>
    <w:qFormat/>
    <w:pPr>
      <w:suppressLineNumbers/>
    </w:pPr>
    <w:rPr>
      <w:rFonts w:ascii="Georgia" w:hAnsi="Georgia" w:cs="Mangal"/>
    </w:rPr>
  </w:style>
  <w:style w:type="paragraph" w:customStyle="1" w:styleId="Titreuser">
    <w:name w:val="Titre (user)"/>
    <w:basedOn w:val="Normale"/>
    <w:next w:val="Corpotesto"/>
    <w:qFormat/>
    <w:pPr>
      <w:keepNext/>
      <w:spacing w:before="240" w:after="120"/>
    </w:pPr>
    <w:rPr>
      <w:rFonts w:ascii="Georgia" w:eastAsia="Microsoft YaHei" w:hAnsi="Georgia" w:cs="Mangal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0AA5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0AA5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0AA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0AA5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0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mmentaire">
    <w:name w:val="Commentaire"/>
    <w:basedOn w:val="Normale"/>
    <w:qFormat/>
    <w:pPr>
      <w:spacing w:before="56"/>
      <w:ind w:left="57" w:right="57"/>
    </w:pPr>
    <w:rPr>
      <w:sz w:val="20"/>
      <w:szCs w:val="20"/>
    </w:rPr>
  </w:style>
  <w:style w:type="numbering" w:customStyle="1" w:styleId="Pasdelisteuser">
    <w:name w:val="Pas de liste (user)"/>
    <w:uiPriority w:val="99"/>
    <w:semiHidden/>
    <w:unhideWhenUsed/>
    <w:qFormat/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F46E98"/>
    <w:pPr>
      <w:suppressAutoHyphens w:val="0"/>
    </w:pPr>
  </w:style>
  <w:style w:type="paragraph" w:styleId="NormaleWeb">
    <w:name w:val="Normal (Web)"/>
    <w:basedOn w:val="Normale"/>
    <w:uiPriority w:val="99"/>
    <w:unhideWhenUsed/>
    <w:rsid w:val="00AF1B7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F1B7A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0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05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D45E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5E5"/>
  </w:style>
  <w:style w:type="paragraph" w:styleId="Pidipagina">
    <w:name w:val="footer"/>
    <w:basedOn w:val="Normale"/>
    <w:link w:val="PidipaginaCarattere"/>
    <w:uiPriority w:val="99"/>
    <w:unhideWhenUsed/>
    <w:rsid w:val="00AD45E5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5E5"/>
  </w:style>
  <w:style w:type="table" w:styleId="Grigliatabella">
    <w:name w:val="Table Grid"/>
    <w:basedOn w:val="Tabellanormale"/>
    <w:uiPriority w:val="39"/>
    <w:rsid w:val="00AD45E5"/>
    <w:pPr>
      <w:suppressAutoHyphens w:val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D45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lists.eu/federalist-library/a-roadmap-to-european-sovereig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t@federalist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9772-FD4B-4AB8-92A2-D79C5558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5162</Characters>
  <Application>Microsoft Office Word</Application>
  <DocSecurity>0</DocSecurity>
  <Lines>125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Maria Palermo</dc:creator>
  <dc:description/>
  <cp:lastModifiedBy>Davide Negri</cp:lastModifiedBy>
  <cp:revision>5</cp:revision>
  <dcterms:created xsi:type="dcterms:W3CDTF">2025-10-22T11:01:00Z</dcterms:created>
  <dcterms:modified xsi:type="dcterms:W3CDTF">2025-11-07T16:28:00Z</dcterms:modified>
  <dc:language>fr-FR</dc:language>
</cp:coreProperties>
</file>